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ACA81" w14:textId="47CA8051" w:rsidR="00230D73" w:rsidRPr="001D279A" w:rsidRDefault="00230D73" w:rsidP="00230D73">
      <w:pPr>
        <w:jc w:val="center"/>
        <w:rPr>
          <w:rFonts w:cstheme="minorHAnsi"/>
          <w:b/>
          <w:sz w:val="28"/>
          <w:szCs w:val="28"/>
        </w:rPr>
      </w:pPr>
      <w:r w:rsidRPr="001D279A">
        <w:rPr>
          <w:rFonts w:cstheme="minorHAnsi"/>
          <w:b/>
          <w:sz w:val="28"/>
          <w:szCs w:val="28"/>
        </w:rPr>
        <w:t>Accounting Principles Committee (APC)</w:t>
      </w:r>
      <w:r w:rsidR="00BD2510">
        <w:rPr>
          <w:rFonts w:cstheme="minorHAnsi"/>
          <w:b/>
          <w:sz w:val="28"/>
          <w:szCs w:val="28"/>
        </w:rPr>
        <w:t xml:space="preserve"> Agenda</w:t>
      </w:r>
    </w:p>
    <w:p w14:paraId="56877A26" w14:textId="48A43397" w:rsidR="00230D73" w:rsidRPr="001D279A" w:rsidRDefault="00230D73" w:rsidP="00230D73">
      <w:pPr>
        <w:jc w:val="center"/>
        <w:rPr>
          <w:rFonts w:cstheme="minorHAnsi"/>
          <w:b/>
          <w:sz w:val="28"/>
          <w:szCs w:val="28"/>
        </w:rPr>
      </w:pPr>
      <w:r w:rsidRPr="001D279A">
        <w:rPr>
          <w:rFonts w:cstheme="minorHAnsi"/>
          <w:b/>
          <w:sz w:val="28"/>
          <w:szCs w:val="28"/>
        </w:rPr>
        <w:t>TACUBO</w:t>
      </w:r>
      <w:r w:rsidR="00F47800" w:rsidRPr="001D279A">
        <w:rPr>
          <w:rFonts w:cstheme="minorHAnsi"/>
          <w:b/>
          <w:sz w:val="28"/>
          <w:szCs w:val="28"/>
        </w:rPr>
        <w:t xml:space="preserve"> </w:t>
      </w:r>
      <w:r w:rsidR="00FC7332">
        <w:rPr>
          <w:rFonts w:cstheme="minorHAnsi"/>
          <w:b/>
          <w:sz w:val="28"/>
          <w:szCs w:val="28"/>
        </w:rPr>
        <w:t>Summer</w:t>
      </w:r>
      <w:r w:rsidR="00696587" w:rsidRPr="001D279A">
        <w:rPr>
          <w:rFonts w:cstheme="minorHAnsi"/>
          <w:b/>
          <w:sz w:val="28"/>
          <w:szCs w:val="28"/>
        </w:rPr>
        <w:t xml:space="preserve"> </w:t>
      </w:r>
      <w:r w:rsidRPr="001D279A">
        <w:rPr>
          <w:rFonts w:cstheme="minorHAnsi"/>
          <w:b/>
          <w:sz w:val="28"/>
          <w:szCs w:val="28"/>
        </w:rPr>
        <w:t>Conference</w:t>
      </w:r>
    </w:p>
    <w:p w14:paraId="7D181F3B" w14:textId="61204D0D" w:rsidR="00B8201E" w:rsidRPr="00D102EC" w:rsidRDefault="004B76B9" w:rsidP="0069209A">
      <w:pPr>
        <w:jc w:val="center"/>
        <w:rPr>
          <w:rFonts w:cstheme="minorHAnsi"/>
          <w:b/>
          <w:sz w:val="28"/>
          <w:szCs w:val="28"/>
        </w:rPr>
      </w:pPr>
      <w:r w:rsidRPr="00D102EC">
        <w:rPr>
          <w:rFonts w:cstheme="minorHAnsi"/>
          <w:b/>
          <w:sz w:val="28"/>
          <w:szCs w:val="28"/>
        </w:rPr>
        <w:t>Monday</w:t>
      </w:r>
      <w:r w:rsidR="003C2B13" w:rsidRPr="00D102EC">
        <w:rPr>
          <w:rFonts w:cstheme="minorHAnsi"/>
          <w:b/>
          <w:sz w:val="28"/>
          <w:szCs w:val="28"/>
        </w:rPr>
        <w:t xml:space="preserve">, </w:t>
      </w:r>
      <w:r w:rsidR="00FC7332" w:rsidRPr="00D102EC">
        <w:rPr>
          <w:rFonts w:cstheme="minorHAnsi"/>
          <w:b/>
          <w:sz w:val="28"/>
          <w:szCs w:val="28"/>
        </w:rPr>
        <w:t>June</w:t>
      </w:r>
      <w:r w:rsidR="00A3425D" w:rsidRPr="00D102EC">
        <w:rPr>
          <w:rFonts w:cstheme="minorHAnsi"/>
          <w:b/>
          <w:sz w:val="28"/>
          <w:szCs w:val="28"/>
        </w:rPr>
        <w:t xml:space="preserve"> 2</w:t>
      </w:r>
      <w:r w:rsidR="00FC7332" w:rsidRPr="00D102EC">
        <w:rPr>
          <w:rFonts w:cstheme="minorHAnsi"/>
          <w:b/>
          <w:sz w:val="28"/>
          <w:szCs w:val="28"/>
        </w:rPr>
        <w:t>2</w:t>
      </w:r>
      <w:r w:rsidR="00A3425D" w:rsidRPr="00D102EC">
        <w:rPr>
          <w:rFonts w:cstheme="minorHAnsi"/>
          <w:b/>
          <w:sz w:val="28"/>
          <w:szCs w:val="28"/>
        </w:rPr>
        <w:t>, 202</w:t>
      </w:r>
      <w:r w:rsidRPr="00D102EC">
        <w:rPr>
          <w:rFonts w:cstheme="minorHAnsi"/>
          <w:b/>
          <w:sz w:val="28"/>
          <w:szCs w:val="28"/>
        </w:rPr>
        <w:t>6</w:t>
      </w:r>
      <w:r w:rsidR="002407B8" w:rsidRPr="00D102EC">
        <w:rPr>
          <w:rFonts w:cstheme="minorHAnsi"/>
          <w:b/>
          <w:sz w:val="28"/>
          <w:szCs w:val="28"/>
        </w:rPr>
        <w:t xml:space="preserve"> </w:t>
      </w:r>
    </w:p>
    <w:p w14:paraId="559CA395" w14:textId="622C0AB5" w:rsidR="00306722" w:rsidRDefault="00D102EC" w:rsidP="0069209A">
      <w:pPr>
        <w:jc w:val="center"/>
      </w:pPr>
      <w:r w:rsidRPr="00D102EC">
        <w:rPr>
          <w:rFonts w:cstheme="minorHAnsi"/>
          <w:b/>
          <w:sz w:val="28"/>
          <w:szCs w:val="28"/>
        </w:rPr>
        <w:t>3</w:t>
      </w:r>
      <w:r w:rsidR="004B76B9" w:rsidRPr="00D102EC">
        <w:rPr>
          <w:rFonts w:cstheme="minorHAnsi"/>
          <w:b/>
          <w:sz w:val="28"/>
          <w:szCs w:val="28"/>
        </w:rPr>
        <w:t>:00</w:t>
      </w:r>
      <w:r w:rsidR="004141D6" w:rsidRPr="00D102EC">
        <w:rPr>
          <w:rFonts w:cstheme="minorHAnsi"/>
          <w:b/>
          <w:sz w:val="28"/>
          <w:szCs w:val="28"/>
        </w:rPr>
        <w:t xml:space="preserve"> </w:t>
      </w:r>
      <w:r w:rsidR="004B76B9" w:rsidRPr="00D102EC">
        <w:rPr>
          <w:rFonts w:cstheme="minorHAnsi"/>
          <w:b/>
          <w:sz w:val="28"/>
          <w:szCs w:val="28"/>
        </w:rPr>
        <w:t>p</w:t>
      </w:r>
      <w:r w:rsidR="00230D73" w:rsidRPr="00D102EC">
        <w:rPr>
          <w:rFonts w:cstheme="minorHAnsi"/>
          <w:b/>
          <w:sz w:val="28"/>
          <w:szCs w:val="28"/>
        </w:rPr>
        <w:t xml:space="preserve">.m. – </w:t>
      </w:r>
      <w:r w:rsidRPr="00D102EC">
        <w:rPr>
          <w:rFonts w:cstheme="minorHAnsi"/>
          <w:b/>
          <w:sz w:val="28"/>
          <w:szCs w:val="28"/>
        </w:rPr>
        <w:t>4</w:t>
      </w:r>
      <w:r w:rsidR="00230D73" w:rsidRPr="00D102EC">
        <w:rPr>
          <w:rFonts w:cstheme="minorHAnsi"/>
          <w:b/>
          <w:sz w:val="28"/>
          <w:szCs w:val="28"/>
        </w:rPr>
        <w:t>:</w:t>
      </w:r>
      <w:r w:rsidR="004B76B9" w:rsidRPr="00D102EC">
        <w:rPr>
          <w:rFonts w:cstheme="minorHAnsi"/>
          <w:b/>
          <w:sz w:val="28"/>
          <w:szCs w:val="28"/>
        </w:rPr>
        <w:t>00</w:t>
      </w:r>
      <w:r w:rsidR="00230D73" w:rsidRPr="00D102EC">
        <w:rPr>
          <w:rFonts w:cstheme="minorHAnsi"/>
          <w:b/>
          <w:sz w:val="28"/>
          <w:szCs w:val="28"/>
        </w:rPr>
        <w:t xml:space="preserve"> </w:t>
      </w:r>
      <w:r w:rsidR="004B76B9" w:rsidRPr="00D102EC">
        <w:rPr>
          <w:rFonts w:cstheme="minorHAnsi"/>
          <w:b/>
          <w:sz w:val="28"/>
          <w:szCs w:val="28"/>
        </w:rPr>
        <w:t>p</w:t>
      </w:r>
      <w:r w:rsidR="00230D73" w:rsidRPr="00D102EC">
        <w:rPr>
          <w:rFonts w:cstheme="minorHAnsi"/>
          <w:b/>
          <w:sz w:val="28"/>
          <w:szCs w:val="28"/>
        </w:rPr>
        <w:t>.m.</w:t>
      </w:r>
      <w:r w:rsidR="004141D6" w:rsidRPr="001D279A">
        <w:rPr>
          <w:rFonts w:cstheme="minorHAnsi"/>
          <w:b/>
          <w:sz w:val="28"/>
          <w:szCs w:val="28"/>
        </w:rPr>
        <w:br/>
      </w:r>
    </w:p>
    <w:p w14:paraId="051E8D2B" w14:textId="77777777" w:rsidR="00F63F5D" w:rsidRDefault="00F63F5D" w:rsidP="0069209A">
      <w:pPr>
        <w:jc w:val="center"/>
      </w:pPr>
    </w:p>
    <w:p w14:paraId="1F28C219" w14:textId="77777777" w:rsidR="004B76B9" w:rsidRDefault="00230D73" w:rsidP="004B76B9">
      <w:pPr>
        <w:pStyle w:val="ListParagraph"/>
        <w:numPr>
          <w:ilvl w:val="0"/>
          <w:numId w:val="1"/>
        </w:numPr>
        <w:rPr>
          <w:rFonts w:cstheme="minorHAnsi"/>
          <w:b/>
          <w:sz w:val="24"/>
          <w:szCs w:val="24"/>
        </w:rPr>
      </w:pPr>
      <w:bookmarkStart w:id="0" w:name="_Hlk152919399"/>
      <w:r w:rsidRPr="004821C1">
        <w:rPr>
          <w:rFonts w:cstheme="minorHAnsi"/>
          <w:b/>
          <w:sz w:val="24"/>
          <w:szCs w:val="24"/>
        </w:rPr>
        <w:t>Welcome</w:t>
      </w:r>
      <w:r w:rsidR="00727F65" w:rsidRPr="004821C1">
        <w:rPr>
          <w:rFonts w:cstheme="minorHAnsi"/>
          <w:b/>
          <w:sz w:val="24"/>
          <w:szCs w:val="24"/>
        </w:rPr>
        <w:t xml:space="preserve"> (</w:t>
      </w:r>
      <w:r w:rsidR="007F7176" w:rsidRPr="004821C1">
        <w:rPr>
          <w:rFonts w:cstheme="minorHAnsi"/>
          <w:b/>
          <w:sz w:val="24"/>
          <w:szCs w:val="24"/>
        </w:rPr>
        <w:t>Leanna Odom</w:t>
      </w:r>
      <w:r w:rsidR="00727F65" w:rsidRPr="004821C1">
        <w:rPr>
          <w:rFonts w:cstheme="minorHAnsi"/>
          <w:b/>
          <w:sz w:val="24"/>
          <w:szCs w:val="24"/>
        </w:rPr>
        <w:t>/</w:t>
      </w:r>
      <w:r w:rsidR="007F7176" w:rsidRPr="004821C1">
        <w:rPr>
          <w:rFonts w:cstheme="minorHAnsi"/>
          <w:b/>
          <w:sz w:val="24"/>
          <w:szCs w:val="24"/>
        </w:rPr>
        <w:t>Leslie Fluharty</w:t>
      </w:r>
      <w:r w:rsidR="00727F65" w:rsidRPr="004821C1">
        <w:rPr>
          <w:rFonts w:cstheme="minorHAnsi"/>
          <w:b/>
          <w:sz w:val="24"/>
          <w:szCs w:val="24"/>
        </w:rPr>
        <w:t>)</w:t>
      </w:r>
      <w:bookmarkEnd w:id="0"/>
    </w:p>
    <w:p w14:paraId="6CB9D8C1" w14:textId="2A42D876" w:rsidR="004B76B9" w:rsidRDefault="004B76B9" w:rsidP="004B76B9">
      <w:pPr>
        <w:pStyle w:val="ListParagraph"/>
        <w:numPr>
          <w:ilvl w:val="0"/>
          <w:numId w:val="1"/>
        </w:numPr>
        <w:rPr>
          <w:rFonts w:cstheme="minorHAnsi"/>
          <w:b/>
          <w:sz w:val="24"/>
          <w:szCs w:val="24"/>
        </w:rPr>
      </w:pPr>
      <w:r>
        <w:rPr>
          <w:rFonts w:cstheme="minorHAnsi"/>
          <w:b/>
          <w:sz w:val="24"/>
          <w:szCs w:val="24"/>
        </w:rPr>
        <w:t>Tuition Discounting review</w:t>
      </w:r>
      <w:r w:rsidR="004A7D70">
        <w:rPr>
          <w:rFonts w:cstheme="minorHAnsi"/>
          <w:b/>
          <w:sz w:val="24"/>
          <w:szCs w:val="24"/>
        </w:rPr>
        <w:t xml:space="preserve"> (Leanna)</w:t>
      </w:r>
    </w:p>
    <w:p w14:paraId="1C06E987" w14:textId="0B993B82" w:rsidR="004B76B9" w:rsidRPr="00DD0DE3" w:rsidRDefault="004B76B9" w:rsidP="00AE4651">
      <w:pPr>
        <w:pStyle w:val="ListParagraph"/>
        <w:numPr>
          <w:ilvl w:val="0"/>
          <w:numId w:val="16"/>
        </w:numPr>
        <w:rPr>
          <w:rFonts w:cstheme="minorHAnsi"/>
          <w:sz w:val="24"/>
          <w:szCs w:val="24"/>
        </w:rPr>
      </w:pPr>
      <w:r w:rsidRPr="00DD0DE3">
        <w:rPr>
          <w:rFonts w:cstheme="minorHAnsi"/>
          <w:sz w:val="24"/>
          <w:szCs w:val="24"/>
        </w:rPr>
        <w:t xml:space="preserve">Did </w:t>
      </w:r>
      <w:r w:rsidR="001F11D0" w:rsidRPr="00DD0DE3">
        <w:rPr>
          <w:rFonts w:cstheme="minorHAnsi"/>
          <w:sz w:val="24"/>
          <w:szCs w:val="24"/>
        </w:rPr>
        <w:t>agencies</w:t>
      </w:r>
      <w:r w:rsidRPr="00DD0DE3">
        <w:rPr>
          <w:rFonts w:cstheme="minorHAnsi"/>
          <w:sz w:val="24"/>
          <w:szCs w:val="24"/>
        </w:rPr>
        <w:t xml:space="preserve"> have a large variance as compared to last year?</w:t>
      </w:r>
    </w:p>
    <w:p w14:paraId="1937C00B" w14:textId="77777777" w:rsidR="00C126D1" w:rsidRPr="00C126D1" w:rsidRDefault="004B76B9" w:rsidP="00AE4651">
      <w:pPr>
        <w:pStyle w:val="ListParagraph"/>
        <w:numPr>
          <w:ilvl w:val="0"/>
          <w:numId w:val="16"/>
        </w:numPr>
        <w:rPr>
          <w:rFonts w:cstheme="minorHAnsi"/>
          <w:b/>
          <w:sz w:val="24"/>
          <w:szCs w:val="24"/>
        </w:rPr>
      </w:pPr>
      <w:r w:rsidRPr="00DD0DE3">
        <w:rPr>
          <w:rFonts w:cstheme="minorHAnsi"/>
          <w:sz w:val="24"/>
          <w:szCs w:val="24"/>
        </w:rPr>
        <w:t xml:space="preserve">Any </w:t>
      </w:r>
      <w:r w:rsidR="001F11D0" w:rsidRPr="00DD0DE3">
        <w:rPr>
          <w:rFonts w:cstheme="minorHAnsi"/>
          <w:sz w:val="24"/>
          <w:szCs w:val="24"/>
        </w:rPr>
        <w:t xml:space="preserve">tips, lessons learned, or </w:t>
      </w:r>
      <w:r w:rsidRPr="00DD0DE3">
        <w:rPr>
          <w:rFonts w:cstheme="minorHAnsi"/>
          <w:sz w:val="24"/>
          <w:szCs w:val="24"/>
        </w:rPr>
        <w:t>changes needed for FY26?</w:t>
      </w:r>
    </w:p>
    <w:p w14:paraId="7F603A41" w14:textId="77777777" w:rsidR="00C126D1" w:rsidRDefault="00C126D1" w:rsidP="00C126D1">
      <w:pPr>
        <w:rPr>
          <w:rFonts w:cstheme="minorHAnsi"/>
          <w:sz w:val="24"/>
          <w:szCs w:val="24"/>
        </w:rPr>
      </w:pPr>
    </w:p>
    <w:p w14:paraId="5F5BFAFE" w14:textId="0F530C0A" w:rsidR="006E0373" w:rsidRDefault="006E0373" w:rsidP="006E0373">
      <w:pPr>
        <w:pStyle w:val="ListParagraph"/>
        <w:numPr>
          <w:ilvl w:val="0"/>
          <w:numId w:val="1"/>
        </w:numPr>
        <w:rPr>
          <w:rFonts w:cstheme="minorHAnsi"/>
          <w:b/>
          <w:sz w:val="24"/>
          <w:szCs w:val="24"/>
        </w:rPr>
      </w:pPr>
      <w:r>
        <w:rPr>
          <w:rFonts w:cstheme="minorHAnsi"/>
          <w:b/>
          <w:sz w:val="24"/>
          <w:szCs w:val="24"/>
        </w:rPr>
        <w:t>GASB 101 – Leave Liability</w:t>
      </w:r>
      <w:r w:rsidR="00A5455B">
        <w:rPr>
          <w:rFonts w:cstheme="minorHAnsi"/>
          <w:b/>
          <w:sz w:val="24"/>
          <w:szCs w:val="24"/>
        </w:rPr>
        <w:t xml:space="preserve"> (Leanna)</w:t>
      </w:r>
    </w:p>
    <w:p w14:paraId="5D3FBAB7" w14:textId="1C337B8E" w:rsidR="006E0373" w:rsidRPr="006E0373" w:rsidRDefault="006E0373" w:rsidP="006E0373">
      <w:pPr>
        <w:pStyle w:val="ListParagraph"/>
        <w:numPr>
          <w:ilvl w:val="0"/>
          <w:numId w:val="16"/>
        </w:numPr>
        <w:rPr>
          <w:rFonts w:cstheme="minorHAnsi"/>
          <w:sz w:val="24"/>
          <w:szCs w:val="24"/>
        </w:rPr>
      </w:pPr>
      <w:r w:rsidRPr="00DD0DE3">
        <w:rPr>
          <w:rFonts w:cstheme="minorHAnsi"/>
          <w:sz w:val="24"/>
          <w:szCs w:val="24"/>
        </w:rPr>
        <w:t xml:space="preserve">How did </w:t>
      </w:r>
      <w:r>
        <w:rPr>
          <w:rFonts w:cstheme="minorHAnsi"/>
          <w:sz w:val="24"/>
          <w:szCs w:val="24"/>
        </w:rPr>
        <w:t>this go for those that had external audit opinions</w:t>
      </w:r>
      <w:r w:rsidRPr="00DD0DE3">
        <w:rPr>
          <w:rFonts w:cstheme="minorHAnsi"/>
          <w:sz w:val="24"/>
          <w:szCs w:val="24"/>
        </w:rPr>
        <w:t>?</w:t>
      </w:r>
    </w:p>
    <w:p w14:paraId="70EAEE59" w14:textId="77777777" w:rsidR="006E0373" w:rsidRPr="00C126D1" w:rsidRDefault="006E0373" w:rsidP="006E0373">
      <w:pPr>
        <w:pStyle w:val="ListParagraph"/>
        <w:numPr>
          <w:ilvl w:val="0"/>
          <w:numId w:val="16"/>
        </w:numPr>
        <w:rPr>
          <w:rFonts w:cstheme="minorHAnsi"/>
          <w:b/>
          <w:sz w:val="24"/>
          <w:szCs w:val="24"/>
        </w:rPr>
      </w:pPr>
      <w:r w:rsidRPr="00DD0DE3">
        <w:rPr>
          <w:rFonts w:cstheme="minorHAnsi"/>
          <w:sz w:val="24"/>
          <w:szCs w:val="24"/>
        </w:rPr>
        <w:t>Any tips, lessons learned, or changes needed for FY26?</w:t>
      </w:r>
    </w:p>
    <w:p w14:paraId="46EE3600" w14:textId="24842543" w:rsidR="00A5455B" w:rsidRDefault="00A5455B" w:rsidP="00261E4F">
      <w:pPr>
        <w:rPr>
          <w:b/>
          <w:sz w:val="24"/>
          <w:szCs w:val="24"/>
        </w:rPr>
      </w:pPr>
    </w:p>
    <w:p w14:paraId="4BA1BE1F" w14:textId="77E5D375" w:rsidR="001048BC" w:rsidRPr="001D279A" w:rsidRDefault="001D279A" w:rsidP="00261E4F">
      <w:pPr>
        <w:rPr>
          <w:b/>
          <w:sz w:val="24"/>
          <w:szCs w:val="24"/>
        </w:rPr>
      </w:pPr>
      <w:r w:rsidRPr="001D279A">
        <w:rPr>
          <w:b/>
          <w:sz w:val="24"/>
          <w:szCs w:val="24"/>
        </w:rPr>
        <w:t>Upcoming GASB Pronouncements</w:t>
      </w:r>
      <w:r w:rsidR="00A5455B">
        <w:rPr>
          <w:b/>
          <w:sz w:val="24"/>
          <w:szCs w:val="24"/>
        </w:rPr>
        <w:t xml:space="preserve"> (Leslie)</w:t>
      </w:r>
    </w:p>
    <w:p w14:paraId="5EC52BA7" w14:textId="77777777" w:rsidR="00F61EDC" w:rsidRDefault="00F61EDC" w:rsidP="00093AD9">
      <w:pPr>
        <w:rPr>
          <w:rFonts w:eastAsia="Times New Roman" w:cstheme="minorHAnsi"/>
          <w:b/>
          <w:bCs/>
          <w:color w:val="212529"/>
          <w:sz w:val="24"/>
          <w:szCs w:val="24"/>
          <w:u w:val="single"/>
          <w:shd w:val="clear" w:color="auto" w:fill="FFFFFF"/>
        </w:rPr>
      </w:pPr>
    </w:p>
    <w:p w14:paraId="31C5D4E4" w14:textId="1F536E8F" w:rsidR="00292799" w:rsidRDefault="002C28CA" w:rsidP="00093AD9">
      <w:pPr>
        <w:rPr>
          <w:rFonts w:eastAsia="Times New Roman" w:cstheme="minorHAnsi"/>
          <w:color w:val="212529"/>
          <w:sz w:val="24"/>
          <w:szCs w:val="24"/>
          <w:shd w:val="clear" w:color="auto" w:fill="FFFFFF"/>
        </w:rPr>
      </w:pPr>
      <w:r w:rsidRPr="0016487A">
        <w:rPr>
          <w:rFonts w:eastAsia="Times New Roman" w:cstheme="minorHAnsi"/>
          <w:b/>
          <w:bCs/>
          <w:color w:val="212529"/>
          <w:sz w:val="24"/>
          <w:szCs w:val="24"/>
          <w:u w:val="single"/>
          <w:shd w:val="clear" w:color="auto" w:fill="FFFFFF"/>
        </w:rPr>
        <w:t xml:space="preserve">GASB Statement No. </w:t>
      </w:r>
      <w:r w:rsidR="004B76B9">
        <w:rPr>
          <w:rFonts w:eastAsia="Times New Roman" w:cstheme="minorHAnsi"/>
          <w:b/>
          <w:bCs/>
          <w:color w:val="212529"/>
          <w:sz w:val="24"/>
          <w:szCs w:val="24"/>
          <w:u w:val="single"/>
          <w:shd w:val="clear" w:color="auto" w:fill="FFFFFF"/>
        </w:rPr>
        <w:t>103 – Financial Reporting Model Improvements</w:t>
      </w:r>
      <w:r w:rsidR="00883BE7">
        <w:rPr>
          <w:rFonts w:eastAsia="Times New Roman" w:cstheme="minorHAnsi"/>
          <w:b/>
          <w:bCs/>
          <w:color w:val="212529"/>
          <w:sz w:val="24"/>
          <w:szCs w:val="24"/>
          <w:u w:val="single"/>
          <w:shd w:val="clear" w:color="auto" w:fill="FFFFFF"/>
        </w:rPr>
        <w:t xml:space="preserve"> </w:t>
      </w:r>
      <w:r w:rsidR="00883BE7" w:rsidRPr="00883BE7">
        <w:rPr>
          <w:rFonts w:eastAsia="Times New Roman" w:cstheme="minorHAnsi"/>
          <w:b/>
          <w:bCs/>
          <w:color w:val="212529"/>
          <w:sz w:val="24"/>
          <w:szCs w:val="24"/>
          <w:shd w:val="clear" w:color="auto" w:fill="FFFFFF"/>
        </w:rPr>
        <w:t>(Leslie)</w:t>
      </w:r>
      <w:r w:rsidRPr="004821C1">
        <w:rPr>
          <w:rFonts w:eastAsia="Times New Roman" w:cstheme="minorHAnsi"/>
          <w:color w:val="212529"/>
          <w:sz w:val="24"/>
          <w:szCs w:val="24"/>
        </w:rPr>
        <w:br/>
      </w:r>
      <w:r w:rsidRPr="004821C1">
        <w:rPr>
          <w:rFonts w:eastAsia="Times New Roman" w:cstheme="minorHAnsi"/>
          <w:color w:val="212529"/>
          <w:sz w:val="24"/>
          <w:szCs w:val="24"/>
          <w:shd w:val="clear" w:color="auto" w:fill="FFFFFF"/>
        </w:rPr>
        <w:t xml:space="preserve">Effective Date: </w:t>
      </w:r>
      <w:r w:rsidR="004B76B9">
        <w:rPr>
          <w:rFonts w:eastAsia="Times New Roman" w:cstheme="minorHAnsi"/>
          <w:color w:val="212529"/>
          <w:sz w:val="24"/>
          <w:szCs w:val="24"/>
          <w:shd w:val="clear" w:color="auto" w:fill="FFFFFF"/>
        </w:rPr>
        <w:t>Fiscal years beginning after June 15, 2025 (FY26)</w:t>
      </w:r>
      <w:r w:rsidR="00345C9E">
        <w:rPr>
          <w:rFonts w:eastAsia="Times New Roman" w:cstheme="minorHAnsi"/>
          <w:color w:val="212529"/>
          <w:sz w:val="24"/>
          <w:szCs w:val="24"/>
          <w:shd w:val="clear" w:color="auto" w:fill="FFFFFF"/>
        </w:rPr>
        <w:t xml:space="preserve">.  </w:t>
      </w:r>
      <w:r w:rsidR="00345C9E" w:rsidRPr="00345C9E">
        <w:rPr>
          <w:rFonts w:eastAsia="Times New Roman" w:cstheme="minorHAnsi"/>
          <w:color w:val="212529"/>
          <w:sz w:val="24"/>
          <w:szCs w:val="24"/>
          <w:shd w:val="clear" w:color="auto" w:fill="FFFFFF"/>
        </w:rPr>
        <w:t>(See actual GASB 103 for details)</w:t>
      </w:r>
      <w:r w:rsidR="00292799">
        <w:rPr>
          <w:rFonts w:eastAsia="Times New Roman" w:cstheme="minorHAnsi"/>
          <w:color w:val="212529"/>
          <w:sz w:val="24"/>
          <w:szCs w:val="24"/>
          <w:shd w:val="clear" w:color="auto" w:fill="FFFFFF"/>
        </w:rPr>
        <w:t xml:space="preserve">. </w:t>
      </w:r>
    </w:p>
    <w:p w14:paraId="37765541" w14:textId="1FEC6FF3" w:rsidR="002C28CA" w:rsidRPr="004821C1" w:rsidRDefault="00292799" w:rsidP="00093AD9">
      <w:pPr>
        <w:rPr>
          <w:rFonts w:eastAsia="Times New Roman" w:cstheme="minorHAnsi"/>
          <w:sz w:val="24"/>
          <w:szCs w:val="24"/>
        </w:rPr>
      </w:pPr>
      <w:r w:rsidRPr="00292799">
        <w:rPr>
          <w:rFonts w:eastAsia="Times New Roman" w:cstheme="minorHAnsi"/>
          <w:color w:val="212529"/>
          <w:sz w:val="24"/>
          <w:szCs w:val="24"/>
          <w:shd w:val="clear" w:color="auto" w:fill="FFFFFF"/>
        </w:rPr>
        <w:t xml:space="preserve">This Statement requires that the Statement of Revenues, Expenses, and Changes in Net Position continue to distinguish between operating and nonoperating revenues and expenses. Nonoperating revenues and expenses are defined as (1) subsidies received and provided, (2) contributions to permanent and term endowments, (3) revenues and expenses related to financing, (4) resources from the disposal of capital assets and inventory, and (5) investment income and expenses. </w:t>
      </w:r>
      <w:r>
        <w:rPr>
          <w:rFonts w:eastAsia="Times New Roman" w:cstheme="minorHAnsi"/>
          <w:color w:val="212529"/>
          <w:sz w:val="24"/>
          <w:szCs w:val="24"/>
          <w:shd w:val="clear" w:color="auto" w:fill="FFFFFF"/>
        </w:rPr>
        <w:t xml:space="preserve"> </w:t>
      </w:r>
    </w:p>
    <w:p w14:paraId="0CFFD3E6" w14:textId="1A034593" w:rsidR="00F7434E" w:rsidRDefault="00F7434E" w:rsidP="000564C5">
      <w:pPr>
        <w:pStyle w:val="ListParagraph"/>
        <w:numPr>
          <w:ilvl w:val="0"/>
          <w:numId w:val="22"/>
        </w:numPr>
        <w:shd w:val="clear" w:color="auto" w:fill="FFFFFF"/>
        <w:spacing w:before="120" w:after="100" w:afterAutospacing="1"/>
        <w:rPr>
          <w:rFonts w:eastAsia="Times New Roman" w:cstheme="minorHAnsi"/>
          <w:color w:val="212529"/>
          <w:sz w:val="24"/>
          <w:szCs w:val="24"/>
        </w:rPr>
      </w:pPr>
      <w:r>
        <w:rPr>
          <w:rFonts w:eastAsia="Times New Roman" w:cstheme="minorHAnsi"/>
          <w:color w:val="212529"/>
          <w:sz w:val="24"/>
          <w:szCs w:val="24"/>
        </w:rPr>
        <w:t xml:space="preserve">GASB 103 clarifies the guidance for </w:t>
      </w:r>
      <w:r w:rsidRPr="00292799">
        <w:rPr>
          <w:rFonts w:eastAsia="Times New Roman" w:cstheme="minorHAnsi"/>
          <w:b/>
          <w:color w:val="212529"/>
          <w:sz w:val="24"/>
          <w:szCs w:val="24"/>
          <w:u w:val="single"/>
        </w:rPr>
        <w:t>Management Discussion &amp; Analysis</w:t>
      </w:r>
      <w:r>
        <w:rPr>
          <w:rFonts w:eastAsia="Times New Roman" w:cstheme="minorHAnsi"/>
          <w:color w:val="212529"/>
          <w:sz w:val="24"/>
          <w:szCs w:val="24"/>
        </w:rPr>
        <w:t xml:space="preserve"> to improve readability and to understand WHY amounts changed from the prior year.</w:t>
      </w:r>
    </w:p>
    <w:p w14:paraId="3FED24DC" w14:textId="52522BD8" w:rsidR="00292799" w:rsidRPr="003F7167" w:rsidRDefault="005A033B" w:rsidP="000564C5">
      <w:pPr>
        <w:pStyle w:val="ListParagraph"/>
        <w:numPr>
          <w:ilvl w:val="0"/>
          <w:numId w:val="22"/>
        </w:numPr>
        <w:shd w:val="clear" w:color="auto" w:fill="FFFFFF"/>
        <w:spacing w:before="120" w:after="100" w:afterAutospacing="1"/>
        <w:rPr>
          <w:rFonts w:eastAsia="Times New Roman" w:cstheme="minorHAnsi"/>
          <w:i/>
          <w:color w:val="212529"/>
          <w:sz w:val="24"/>
          <w:szCs w:val="24"/>
        </w:rPr>
      </w:pPr>
      <w:r>
        <w:rPr>
          <w:rFonts w:eastAsia="Times New Roman" w:cstheme="minorHAnsi"/>
          <w:color w:val="212529"/>
          <w:sz w:val="24"/>
          <w:szCs w:val="24"/>
        </w:rPr>
        <w:t xml:space="preserve">The </w:t>
      </w:r>
      <w:r w:rsidR="00CA7436">
        <w:rPr>
          <w:rFonts w:eastAsia="Times New Roman" w:cstheme="minorHAnsi"/>
          <w:color w:val="212529"/>
          <w:sz w:val="24"/>
          <w:szCs w:val="24"/>
        </w:rPr>
        <w:t>a</w:t>
      </w:r>
      <w:r>
        <w:rPr>
          <w:rFonts w:eastAsia="Times New Roman" w:cstheme="minorHAnsi"/>
          <w:color w:val="212529"/>
          <w:sz w:val="24"/>
          <w:szCs w:val="24"/>
        </w:rPr>
        <w:t xml:space="preserve">ddition of a </w:t>
      </w:r>
      <w:r w:rsidRPr="00C43BAF">
        <w:rPr>
          <w:rFonts w:eastAsia="Times New Roman" w:cstheme="minorHAnsi"/>
          <w:b/>
          <w:color w:val="212529"/>
          <w:sz w:val="24"/>
          <w:szCs w:val="24"/>
        </w:rPr>
        <w:t>new section</w:t>
      </w:r>
      <w:r>
        <w:rPr>
          <w:rFonts w:eastAsia="Times New Roman" w:cstheme="minorHAnsi"/>
          <w:color w:val="212529"/>
          <w:sz w:val="24"/>
          <w:szCs w:val="24"/>
        </w:rPr>
        <w:t xml:space="preserve"> and a </w:t>
      </w:r>
      <w:r w:rsidRPr="005A033B">
        <w:rPr>
          <w:rFonts w:eastAsia="Times New Roman" w:cstheme="minorHAnsi"/>
          <w:b/>
          <w:color w:val="212529"/>
          <w:sz w:val="24"/>
          <w:szCs w:val="24"/>
        </w:rPr>
        <w:t xml:space="preserve">new </w:t>
      </w:r>
      <w:r w:rsidR="00B8201E">
        <w:rPr>
          <w:rFonts w:eastAsia="Times New Roman" w:cstheme="minorHAnsi"/>
          <w:b/>
          <w:color w:val="212529"/>
          <w:sz w:val="24"/>
          <w:szCs w:val="24"/>
        </w:rPr>
        <w:t>sub</w:t>
      </w:r>
      <w:r w:rsidRPr="005A033B">
        <w:rPr>
          <w:rFonts w:eastAsia="Times New Roman" w:cstheme="minorHAnsi"/>
          <w:b/>
          <w:color w:val="212529"/>
          <w:sz w:val="24"/>
          <w:szCs w:val="24"/>
        </w:rPr>
        <w:t>total line</w:t>
      </w:r>
      <w:r>
        <w:rPr>
          <w:rFonts w:eastAsia="Times New Roman" w:cstheme="minorHAnsi"/>
          <w:color w:val="212529"/>
          <w:sz w:val="24"/>
          <w:szCs w:val="24"/>
        </w:rPr>
        <w:t xml:space="preserve"> for </w:t>
      </w:r>
      <w:r w:rsidRPr="00345C9E">
        <w:rPr>
          <w:rFonts w:eastAsia="Times New Roman" w:cstheme="minorHAnsi"/>
          <w:b/>
          <w:color w:val="212529"/>
          <w:sz w:val="24"/>
          <w:szCs w:val="24"/>
          <w:u w:val="single"/>
        </w:rPr>
        <w:t>NonCapital Subsidies</w:t>
      </w:r>
      <w:r>
        <w:rPr>
          <w:rFonts w:eastAsia="Times New Roman" w:cstheme="minorHAnsi"/>
          <w:color w:val="212529"/>
          <w:sz w:val="24"/>
          <w:szCs w:val="24"/>
        </w:rPr>
        <w:t>, before</w:t>
      </w:r>
      <w:r w:rsidR="0057384D">
        <w:rPr>
          <w:rFonts w:eastAsia="Times New Roman" w:cstheme="minorHAnsi"/>
          <w:color w:val="212529"/>
          <w:sz w:val="24"/>
          <w:szCs w:val="24"/>
        </w:rPr>
        <w:t xml:space="preserve"> the section</w:t>
      </w:r>
      <w:r>
        <w:rPr>
          <w:rFonts w:eastAsia="Times New Roman" w:cstheme="minorHAnsi"/>
          <w:color w:val="212529"/>
          <w:sz w:val="24"/>
          <w:szCs w:val="24"/>
        </w:rPr>
        <w:t xml:space="preserve"> Other NonOperating Revenues and Expenses. </w:t>
      </w:r>
      <w:r w:rsidR="0057384D">
        <w:rPr>
          <w:rFonts w:eastAsia="Times New Roman" w:cstheme="minorHAnsi"/>
          <w:color w:val="212529"/>
          <w:sz w:val="24"/>
          <w:szCs w:val="24"/>
        </w:rPr>
        <w:t xml:space="preserve"> </w:t>
      </w:r>
      <w:r w:rsidR="005E6C19">
        <w:rPr>
          <w:rFonts w:eastAsia="Times New Roman" w:cstheme="minorHAnsi"/>
          <w:color w:val="212529"/>
          <w:sz w:val="24"/>
          <w:szCs w:val="24"/>
        </w:rPr>
        <w:t>Note that the</w:t>
      </w:r>
      <w:r w:rsidR="0057384D">
        <w:rPr>
          <w:rFonts w:eastAsia="Times New Roman" w:cstheme="minorHAnsi"/>
          <w:color w:val="212529"/>
          <w:sz w:val="24"/>
          <w:szCs w:val="24"/>
        </w:rPr>
        <w:t xml:space="preserve"> current</w:t>
      </w:r>
      <w:r w:rsidR="005E6C19">
        <w:rPr>
          <w:rFonts w:eastAsia="Times New Roman" w:cstheme="minorHAnsi"/>
          <w:color w:val="212529"/>
          <w:sz w:val="24"/>
          <w:szCs w:val="24"/>
        </w:rPr>
        <w:t xml:space="preserve"> last section - Capital Contributions, Endowments and Transfers will go away and th</w:t>
      </w:r>
      <w:r w:rsidR="0057384D">
        <w:rPr>
          <w:rFonts w:eastAsia="Times New Roman" w:cstheme="minorHAnsi"/>
          <w:color w:val="212529"/>
          <w:sz w:val="24"/>
          <w:szCs w:val="24"/>
        </w:rPr>
        <w:t>ose</w:t>
      </w:r>
      <w:r w:rsidR="005E6C19">
        <w:rPr>
          <w:rFonts w:eastAsia="Times New Roman" w:cstheme="minorHAnsi"/>
          <w:color w:val="212529"/>
          <w:sz w:val="24"/>
          <w:szCs w:val="24"/>
        </w:rPr>
        <w:t xml:space="preserve"> rows will become part of either NonCapital Subsidies section o</w:t>
      </w:r>
      <w:r w:rsidR="00A170C1">
        <w:rPr>
          <w:rFonts w:eastAsia="Times New Roman" w:cstheme="minorHAnsi"/>
          <w:color w:val="212529"/>
          <w:sz w:val="24"/>
          <w:szCs w:val="24"/>
        </w:rPr>
        <w:t>r</w:t>
      </w:r>
      <w:r w:rsidR="005E6C19">
        <w:rPr>
          <w:rFonts w:eastAsia="Times New Roman" w:cstheme="minorHAnsi"/>
          <w:color w:val="212529"/>
          <w:sz w:val="24"/>
          <w:szCs w:val="24"/>
        </w:rPr>
        <w:t xml:space="preserve"> Other NonOperating Revenues and Expenses section.</w:t>
      </w:r>
    </w:p>
    <w:p w14:paraId="126578A1" w14:textId="5D653E03" w:rsidR="002F0B72" w:rsidRDefault="002F0B72" w:rsidP="005A033B">
      <w:pPr>
        <w:pStyle w:val="ListParagraph"/>
        <w:numPr>
          <w:ilvl w:val="1"/>
          <w:numId w:val="13"/>
        </w:numPr>
        <w:shd w:val="clear" w:color="auto" w:fill="FFFFFF"/>
        <w:spacing w:before="120" w:after="100" w:afterAutospacing="1"/>
        <w:rPr>
          <w:rFonts w:eastAsia="Times New Roman" w:cstheme="minorHAnsi"/>
          <w:color w:val="212529"/>
          <w:sz w:val="24"/>
          <w:szCs w:val="24"/>
        </w:rPr>
      </w:pPr>
      <w:r w:rsidRPr="002F0B72">
        <w:rPr>
          <w:rFonts w:eastAsia="Times New Roman" w:cstheme="minorHAnsi"/>
          <w:color w:val="212529"/>
          <w:sz w:val="24"/>
          <w:szCs w:val="24"/>
        </w:rPr>
        <w:t>Subsidies are defined as (1) resources received from another party</w:t>
      </w:r>
      <w:r w:rsidR="005E6C19">
        <w:rPr>
          <w:rFonts w:eastAsia="Times New Roman" w:cstheme="minorHAnsi"/>
          <w:color w:val="212529"/>
          <w:sz w:val="24"/>
          <w:szCs w:val="24"/>
        </w:rPr>
        <w:t xml:space="preserve"> </w:t>
      </w:r>
      <w:r w:rsidRPr="002F0B72">
        <w:rPr>
          <w:rFonts w:eastAsia="Times New Roman" w:cstheme="minorHAnsi"/>
          <w:color w:val="212529"/>
          <w:sz w:val="24"/>
          <w:szCs w:val="24"/>
        </w:rPr>
        <w:t xml:space="preserve"> (a) for which the </w:t>
      </w:r>
      <w:r w:rsidR="005E6C19">
        <w:rPr>
          <w:rFonts w:eastAsia="Times New Roman" w:cstheme="minorHAnsi"/>
          <w:color w:val="212529"/>
          <w:sz w:val="24"/>
          <w:szCs w:val="24"/>
        </w:rPr>
        <w:t>institution</w:t>
      </w:r>
      <w:r w:rsidRPr="002F0B72">
        <w:rPr>
          <w:rFonts w:eastAsia="Times New Roman" w:cstheme="minorHAnsi"/>
          <w:color w:val="212529"/>
          <w:sz w:val="24"/>
          <w:szCs w:val="24"/>
        </w:rPr>
        <w:t xml:space="preserve"> </w:t>
      </w:r>
      <w:r w:rsidRPr="00883BE7">
        <w:rPr>
          <w:rFonts w:eastAsia="Times New Roman" w:cstheme="minorHAnsi"/>
          <w:color w:val="212529"/>
          <w:sz w:val="24"/>
          <w:szCs w:val="24"/>
        </w:rPr>
        <w:t>does not provide goods and services to the other party</w:t>
      </w:r>
      <w:r w:rsidRPr="002F0B72">
        <w:rPr>
          <w:rFonts w:eastAsia="Times New Roman" w:cstheme="minorHAnsi"/>
          <w:color w:val="212529"/>
          <w:sz w:val="24"/>
          <w:szCs w:val="24"/>
        </w:rPr>
        <w:t xml:space="preserve"> and (b) </w:t>
      </w:r>
      <w:r w:rsidRPr="00883BE7">
        <w:rPr>
          <w:rFonts w:eastAsia="Times New Roman" w:cstheme="minorHAnsi"/>
          <w:color w:val="212529"/>
          <w:sz w:val="24"/>
          <w:szCs w:val="24"/>
          <w:u w:val="single"/>
        </w:rPr>
        <w:t xml:space="preserve">that directly or indirectly keep </w:t>
      </w:r>
      <w:r w:rsidR="005E6C19" w:rsidRPr="00883BE7">
        <w:rPr>
          <w:rFonts w:eastAsia="Times New Roman" w:cstheme="minorHAnsi"/>
          <w:color w:val="212529"/>
          <w:sz w:val="24"/>
          <w:szCs w:val="24"/>
          <w:u w:val="single"/>
        </w:rPr>
        <w:t>c</w:t>
      </w:r>
      <w:r w:rsidRPr="00883BE7">
        <w:rPr>
          <w:rFonts w:eastAsia="Times New Roman" w:cstheme="minorHAnsi"/>
          <w:color w:val="212529"/>
          <w:sz w:val="24"/>
          <w:szCs w:val="24"/>
          <w:u w:val="single"/>
        </w:rPr>
        <w:t>urrent or future fees and charges lower</w:t>
      </w:r>
      <w:r w:rsidRPr="002F0B72">
        <w:rPr>
          <w:rFonts w:eastAsia="Times New Roman" w:cstheme="minorHAnsi"/>
          <w:color w:val="212529"/>
          <w:sz w:val="24"/>
          <w:szCs w:val="24"/>
        </w:rPr>
        <w:t xml:space="preserve"> than they would be otherwise, (2) resources provided to another party</w:t>
      </w:r>
      <w:r w:rsidR="005E6C19">
        <w:rPr>
          <w:rFonts w:eastAsia="Times New Roman" w:cstheme="minorHAnsi"/>
          <w:color w:val="212529"/>
          <w:sz w:val="24"/>
          <w:szCs w:val="24"/>
        </w:rPr>
        <w:t xml:space="preserve"> </w:t>
      </w:r>
      <w:r w:rsidRPr="002F0B72">
        <w:rPr>
          <w:rFonts w:eastAsia="Times New Roman" w:cstheme="minorHAnsi"/>
          <w:color w:val="212529"/>
          <w:sz w:val="24"/>
          <w:szCs w:val="24"/>
        </w:rPr>
        <w:t xml:space="preserve">(a) for which the other party does not provide goods and services to the </w:t>
      </w:r>
      <w:r w:rsidR="005E6C19">
        <w:rPr>
          <w:rFonts w:eastAsia="Times New Roman" w:cstheme="minorHAnsi"/>
          <w:color w:val="212529"/>
          <w:sz w:val="24"/>
          <w:szCs w:val="24"/>
        </w:rPr>
        <w:t>institution</w:t>
      </w:r>
      <w:r w:rsidRPr="002F0B72">
        <w:rPr>
          <w:rFonts w:eastAsia="Times New Roman" w:cstheme="minorHAnsi"/>
          <w:color w:val="212529"/>
          <w:sz w:val="24"/>
          <w:szCs w:val="24"/>
        </w:rPr>
        <w:t xml:space="preserve"> and (b) that are recoverable through the </w:t>
      </w:r>
      <w:r w:rsidR="005E6C19">
        <w:rPr>
          <w:rFonts w:eastAsia="Times New Roman" w:cstheme="minorHAnsi"/>
          <w:color w:val="212529"/>
          <w:sz w:val="24"/>
          <w:szCs w:val="24"/>
        </w:rPr>
        <w:t>institutions</w:t>
      </w:r>
      <w:r w:rsidRPr="002F0B72">
        <w:rPr>
          <w:rFonts w:eastAsia="Times New Roman" w:cstheme="minorHAnsi"/>
          <w:color w:val="212529"/>
          <w:sz w:val="24"/>
          <w:szCs w:val="24"/>
        </w:rPr>
        <w:t xml:space="preserve"> current or future pricing policies, and (3) all other transfers.</w:t>
      </w:r>
    </w:p>
    <w:p w14:paraId="2EB43F7D" w14:textId="77777777" w:rsidR="000442F8" w:rsidRDefault="000442F8" w:rsidP="005A033B">
      <w:pPr>
        <w:pStyle w:val="ListParagraph"/>
        <w:numPr>
          <w:ilvl w:val="1"/>
          <w:numId w:val="13"/>
        </w:numPr>
        <w:shd w:val="clear" w:color="auto" w:fill="FFFFFF"/>
        <w:spacing w:before="120" w:after="100" w:afterAutospacing="1"/>
        <w:rPr>
          <w:rFonts w:eastAsia="Times New Roman" w:cstheme="minorHAnsi"/>
          <w:color w:val="212529"/>
          <w:sz w:val="24"/>
          <w:szCs w:val="24"/>
        </w:rPr>
      </w:pPr>
      <w:r>
        <w:rPr>
          <w:rFonts w:eastAsia="Times New Roman" w:cstheme="minorHAnsi"/>
          <w:color w:val="212529"/>
          <w:sz w:val="24"/>
          <w:szCs w:val="24"/>
        </w:rPr>
        <w:t xml:space="preserve">Examples of these NonCapital Subsidies are: </w:t>
      </w:r>
    </w:p>
    <w:p w14:paraId="2B46C707" w14:textId="77777777" w:rsidR="000442F8" w:rsidRDefault="000442F8" w:rsidP="000442F8">
      <w:pPr>
        <w:pStyle w:val="ListParagraph"/>
        <w:numPr>
          <w:ilvl w:val="2"/>
          <w:numId w:val="13"/>
        </w:numPr>
        <w:shd w:val="clear" w:color="auto" w:fill="FFFFFF"/>
        <w:spacing w:before="120" w:after="100" w:afterAutospacing="1"/>
        <w:rPr>
          <w:rFonts w:eastAsia="Times New Roman" w:cstheme="minorHAnsi"/>
          <w:color w:val="212529"/>
          <w:sz w:val="24"/>
          <w:szCs w:val="24"/>
        </w:rPr>
      </w:pPr>
      <w:r>
        <w:rPr>
          <w:rFonts w:eastAsia="Times New Roman" w:cstheme="minorHAnsi"/>
          <w:color w:val="212529"/>
          <w:sz w:val="24"/>
          <w:szCs w:val="24"/>
        </w:rPr>
        <w:t xml:space="preserve">Appropriations, </w:t>
      </w:r>
    </w:p>
    <w:p w14:paraId="30373766" w14:textId="77777777" w:rsidR="000442F8" w:rsidRDefault="000442F8" w:rsidP="000442F8">
      <w:pPr>
        <w:pStyle w:val="ListParagraph"/>
        <w:numPr>
          <w:ilvl w:val="2"/>
          <w:numId w:val="13"/>
        </w:numPr>
        <w:shd w:val="clear" w:color="auto" w:fill="FFFFFF"/>
        <w:spacing w:before="120" w:after="100" w:afterAutospacing="1"/>
        <w:rPr>
          <w:rFonts w:eastAsia="Times New Roman" w:cstheme="minorHAnsi"/>
          <w:color w:val="212529"/>
          <w:sz w:val="24"/>
          <w:szCs w:val="24"/>
        </w:rPr>
      </w:pPr>
      <w:r>
        <w:rPr>
          <w:rFonts w:eastAsia="Times New Roman" w:cstheme="minorHAnsi"/>
          <w:color w:val="212529"/>
          <w:sz w:val="24"/>
          <w:szCs w:val="24"/>
        </w:rPr>
        <w:t xml:space="preserve">NonOperating State and Federal Pass Through, </w:t>
      </w:r>
    </w:p>
    <w:p w14:paraId="4A432209" w14:textId="77777777" w:rsidR="000442F8" w:rsidRDefault="000442F8" w:rsidP="000442F8">
      <w:pPr>
        <w:pStyle w:val="ListParagraph"/>
        <w:numPr>
          <w:ilvl w:val="2"/>
          <w:numId w:val="13"/>
        </w:numPr>
        <w:shd w:val="clear" w:color="auto" w:fill="FFFFFF"/>
        <w:spacing w:before="120" w:after="100" w:afterAutospacing="1"/>
        <w:rPr>
          <w:rFonts w:eastAsia="Times New Roman" w:cstheme="minorHAnsi"/>
          <w:color w:val="212529"/>
          <w:sz w:val="24"/>
          <w:szCs w:val="24"/>
        </w:rPr>
      </w:pPr>
      <w:r>
        <w:rPr>
          <w:rFonts w:eastAsia="Times New Roman" w:cstheme="minorHAnsi"/>
          <w:color w:val="212529"/>
          <w:sz w:val="24"/>
          <w:szCs w:val="24"/>
        </w:rPr>
        <w:t xml:space="preserve">Gifts (noncapital), </w:t>
      </w:r>
    </w:p>
    <w:p w14:paraId="1008D64E" w14:textId="51552396" w:rsidR="000442F8" w:rsidRDefault="000442F8" w:rsidP="000442F8">
      <w:pPr>
        <w:pStyle w:val="ListParagraph"/>
        <w:numPr>
          <w:ilvl w:val="2"/>
          <w:numId w:val="13"/>
        </w:numPr>
        <w:shd w:val="clear" w:color="auto" w:fill="FFFFFF"/>
        <w:spacing w:before="120" w:after="100" w:afterAutospacing="1"/>
        <w:rPr>
          <w:rFonts w:eastAsia="Times New Roman" w:cstheme="minorHAnsi"/>
          <w:color w:val="212529"/>
          <w:sz w:val="24"/>
          <w:szCs w:val="24"/>
        </w:rPr>
      </w:pPr>
      <w:r>
        <w:rPr>
          <w:rFonts w:eastAsia="Times New Roman" w:cstheme="minorHAnsi"/>
          <w:color w:val="212529"/>
          <w:sz w:val="24"/>
          <w:szCs w:val="24"/>
        </w:rPr>
        <w:t>Legislative Transfers in/out and lapsed.</w:t>
      </w:r>
    </w:p>
    <w:p w14:paraId="381674E7" w14:textId="39A4C88A" w:rsidR="006E4F2F" w:rsidRDefault="00DB36AF" w:rsidP="005A033B">
      <w:pPr>
        <w:pStyle w:val="ListParagraph"/>
        <w:numPr>
          <w:ilvl w:val="1"/>
          <w:numId w:val="13"/>
        </w:numPr>
        <w:shd w:val="clear" w:color="auto" w:fill="FFFFFF"/>
        <w:spacing w:before="120" w:after="100" w:afterAutospacing="1"/>
        <w:rPr>
          <w:rFonts w:eastAsia="Times New Roman" w:cstheme="minorHAnsi"/>
          <w:color w:val="212529"/>
          <w:sz w:val="24"/>
          <w:szCs w:val="24"/>
        </w:rPr>
      </w:pPr>
      <w:r>
        <w:rPr>
          <w:rFonts w:eastAsia="Times New Roman" w:cstheme="minorHAnsi"/>
          <w:color w:val="212529"/>
          <w:sz w:val="24"/>
          <w:szCs w:val="24"/>
        </w:rPr>
        <w:t xml:space="preserve">Per NACUBO - </w:t>
      </w:r>
      <w:r w:rsidR="002B5F7E" w:rsidRPr="00F7434E">
        <w:rPr>
          <w:rFonts w:eastAsia="Times New Roman" w:cstheme="minorHAnsi"/>
          <w:color w:val="212529"/>
          <w:sz w:val="24"/>
          <w:szCs w:val="24"/>
        </w:rPr>
        <w:t xml:space="preserve">A significant change is that revenue from Pell Grants, which was previously classified as non-operating revenue, will be reported as operating revenue. </w:t>
      </w:r>
      <w:r w:rsidR="002B5F7E">
        <w:rPr>
          <w:rFonts w:eastAsia="Times New Roman" w:cstheme="minorHAnsi"/>
          <w:color w:val="212529"/>
          <w:sz w:val="24"/>
          <w:szCs w:val="24"/>
        </w:rPr>
        <w:t xml:space="preserve"> This will affect your Operating Income or Loss amount.  </w:t>
      </w:r>
      <w:r w:rsidR="002B5F7E" w:rsidRPr="00925B45">
        <w:rPr>
          <w:rFonts w:eastAsia="Times New Roman" w:cstheme="minorHAnsi"/>
          <w:color w:val="212529"/>
          <w:sz w:val="24"/>
          <w:szCs w:val="24"/>
          <w:u w:val="single"/>
        </w:rPr>
        <w:t>Pell Grant revenue is not considered a subsidy because it does not keep current or future tuition and fee rates lower than they would be otherwise.</w:t>
      </w:r>
      <w:r w:rsidR="00A14168" w:rsidRPr="00925B45">
        <w:rPr>
          <w:rFonts w:eastAsia="Times New Roman" w:cstheme="minorHAnsi"/>
          <w:color w:val="212529"/>
          <w:sz w:val="24"/>
          <w:szCs w:val="24"/>
          <w:u w:val="single"/>
        </w:rPr>
        <w:t xml:space="preserve"> Should TEACH and SEOG also be moved like PELL to operating revenue</w:t>
      </w:r>
      <w:r w:rsidR="00A14168">
        <w:rPr>
          <w:rFonts w:eastAsia="Times New Roman" w:cstheme="minorHAnsi"/>
          <w:color w:val="212529"/>
          <w:sz w:val="24"/>
          <w:szCs w:val="24"/>
        </w:rPr>
        <w:t>?</w:t>
      </w:r>
      <w:r w:rsidR="00925B45">
        <w:rPr>
          <w:rFonts w:eastAsia="Times New Roman" w:cstheme="minorHAnsi"/>
          <w:color w:val="212529"/>
          <w:sz w:val="24"/>
          <w:szCs w:val="24"/>
        </w:rPr>
        <w:t xml:space="preserve"> </w:t>
      </w:r>
    </w:p>
    <w:p w14:paraId="74AD6D04" w14:textId="756E752A" w:rsidR="002B5F7E" w:rsidRPr="002F0B72" w:rsidRDefault="00925B45" w:rsidP="006E4F2F">
      <w:pPr>
        <w:pStyle w:val="ListParagraph"/>
        <w:numPr>
          <w:ilvl w:val="2"/>
          <w:numId w:val="13"/>
        </w:numPr>
        <w:shd w:val="clear" w:color="auto" w:fill="FFFFFF"/>
        <w:spacing w:before="120" w:after="100" w:afterAutospacing="1"/>
        <w:rPr>
          <w:rFonts w:eastAsia="Times New Roman" w:cstheme="minorHAnsi"/>
          <w:color w:val="212529"/>
          <w:sz w:val="24"/>
          <w:szCs w:val="24"/>
        </w:rPr>
      </w:pPr>
      <w:r>
        <w:rPr>
          <w:rFonts w:eastAsia="Times New Roman" w:cstheme="minorHAnsi"/>
          <w:color w:val="212529"/>
          <w:sz w:val="24"/>
          <w:szCs w:val="24"/>
        </w:rPr>
        <w:t>Are there others to consider</w:t>
      </w:r>
      <w:r w:rsidR="006E4F2F">
        <w:rPr>
          <w:rFonts w:eastAsia="Times New Roman" w:cstheme="minorHAnsi"/>
          <w:color w:val="212529"/>
          <w:sz w:val="24"/>
          <w:szCs w:val="24"/>
        </w:rPr>
        <w:t xml:space="preserve"> (FCWS)</w:t>
      </w:r>
      <w:r>
        <w:rPr>
          <w:rFonts w:eastAsia="Times New Roman" w:cstheme="minorHAnsi"/>
          <w:color w:val="212529"/>
          <w:sz w:val="24"/>
          <w:szCs w:val="24"/>
        </w:rPr>
        <w:t>?</w:t>
      </w:r>
    </w:p>
    <w:p w14:paraId="303941AD" w14:textId="5C09DE34" w:rsidR="00A5455B" w:rsidRPr="000874AF" w:rsidRDefault="00F7434E" w:rsidP="00BD2510">
      <w:pPr>
        <w:pStyle w:val="ListParagraph"/>
        <w:numPr>
          <w:ilvl w:val="0"/>
          <w:numId w:val="23"/>
        </w:numPr>
        <w:shd w:val="clear" w:color="auto" w:fill="FFFFFF"/>
        <w:spacing w:before="120" w:after="100" w:afterAutospacing="1"/>
        <w:rPr>
          <w:rFonts w:eastAsia="Times New Roman" w:cstheme="minorHAnsi"/>
          <w:color w:val="212529"/>
          <w:sz w:val="24"/>
          <w:szCs w:val="24"/>
        </w:rPr>
      </w:pPr>
      <w:r>
        <w:rPr>
          <w:rFonts w:eastAsia="Times New Roman" w:cstheme="minorHAnsi"/>
          <w:color w:val="212529"/>
          <w:sz w:val="24"/>
          <w:szCs w:val="24"/>
        </w:rPr>
        <w:lastRenderedPageBreak/>
        <w:t xml:space="preserve">Another </w:t>
      </w:r>
      <w:r w:rsidRPr="00F7434E">
        <w:rPr>
          <w:rFonts w:eastAsia="Times New Roman" w:cstheme="minorHAnsi"/>
          <w:b/>
          <w:color w:val="212529"/>
          <w:sz w:val="24"/>
          <w:szCs w:val="24"/>
        </w:rPr>
        <w:t>new section</w:t>
      </w:r>
      <w:r>
        <w:rPr>
          <w:rFonts w:eastAsia="Times New Roman" w:cstheme="minorHAnsi"/>
          <w:color w:val="212529"/>
          <w:sz w:val="24"/>
          <w:szCs w:val="24"/>
        </w:rPr>
        <w:t xml:space="preserve"> at the end for </w:t>
      </w:r>
      <w:r w:rsidRPr="00F7434E">
        <w:rPr>
          <w:rFonts w:eastAsia="Times New Roman" w:cstheme="minorHAnsi"/>
          <w:b/>
          <w:color w:val="212529"/>
          <w:sz w:val="24"/>
          <w:szCs w:val="24"/>
          <w:u w:val="single"/>
        </w:rPr>
        <w:t xml:space="preserve">Unusual </w:t>
      </w:r>
      <w:r>
        <w:rPr>
          <w:rFonts w:eastAsia="Times New Roman" w:cstheme="minorHAnsi"/>
          <w:b/>
          <w:color w:val="212529"/>
          <w:sz w:val="24"/>
          <w:szCs w:val="24"/>
          <w:u w:val="single"/>
        </w:rPr>
        <w:t>or</w:t>
      </w:r>
      <w:r w:rsidRPr="00F7434E">
        <w:rPr>
          <w:rFonts w:eastAsia="Times New Roman" w:cstheme="minorHAnsi"/>
          <w:b/>
          <w:color w:val="212529"/>
          <w:sz w:val="24"/>
          <w:szCs w:val="24"/>
          <w:u w:val="single"/>
        </w:rPr>
        <w:t xml:space="preserve"> Infrequent Items</w:t>
      </w:r>
      <w:r>
        <w:rPr>
          <w:rFonts w:eastAsia="Times New Roman" w:cstheme="minorHAnsi"/>
          <w:color w:val="212529"/>
          <w:sz w:val="24"/>
          <w:szCs w:val="24"/>
        </w:rPr>
        <w:t xml:space="preserve"> to include lines for details (if any)</w:t>
      </w:r>
      <w:r w:rsidR="001F560B">
        <w:rPr>
          <w:rFonts w:eastAsia="Times New Roman" w:cstheme="minorHAnsi"/>
          <w:color w:val="212529"/>
          <w:sz w:val="24"/>
          <w:szCs w:val="24"/>
        </w:rPr>
        <w:t>.</w:t>
      </w:r>
    </w:p>
    <w:p w14:paraId="33192023" w14:textId="3B9A79A3" w:rsidR="00BD2510" w:rsidRPr="00A54AB6" w:rsidRDefault="00BD2510" w:rsidP="00BD2510">
      <w:pPr>
        <w:rPr>
          <w:b/>
        </w:rPr>
      </w:pPr>
      <w:r w:rsidRPr="00A54AB6">
        <w:rPr>
          <w:b/>
        </w:rPr>
        <w:t>Key Distinction (Capital vs. Noncapital):</w:t>
      </w:r>
    </w:p>
    <w:p w14:paraId="65F2A585" w14:textId="62588A9E" w:rsidR="00BD2510" w:rsidRPr="00BD2510" w:rsidRDefault="00BD2510" w:rsidP="000564C5">
      <w:pPr>
        <w:pStyle w:val="ListParagraph"/>
        <w:numPr>
          <w:ilvl w:val="0"/>
          <w:numId w:val="21"/>
        </w:numPr>
        <w:spacing w:after="160" w:line="259" w:lineRule="auto"/>
        <w:rPr>
          <w:rFonts w:eastAsia="Times New Roman" w:cstheme="minorHAnsi"/>
          <w:color w:val="212529"/>
          <w:sz w:val="24"/>
          <w:szCs w:val="24"/>
        </w:rPr>
      </w:pPr>
      <w:r w:rsidRPr="00BD2510">
        <w:rPr>
          <w:rFonts w:eastAsia="Times New Roman" w:cstheme="minorHAnsi"/>
          <w:color w:val="212529"/>
          <w:sz w:val="24"/>
          <w:szCs w:val="24"/>
        </w:rPr>
        <w:t>Noncapital subsidies support current or future operations.</w:t>
      </w:r>
    </w:p>
    <w:p w14:paraId="4B670C24" w14:textId="3981A39A" w:rsidR="007321E7" w:rsidRDefault="00BD2510" w:rsidP="000564C5">
      <w:pPr>
        <w:pStyle w:val="ListParagraph"/>
        <w:numPr>
          <w:ilvl w:val="0"/>
          <w:numId w:val="21"/>
        </w:numPr>
        <w:spacing w:after="160" w:line="259" w:lineRule="auto"/>
        <w:rPr>
          <w:rFonts w:eastAsia="Times New Roman" w:cstheme="minorHAnsi"/>
          <w:color w:val="212529"/>
          <w:sz w:val="24"/>
          <w:szCs w:val="24"/>
        </w:rPr>
      </w:pPr>
      <w:r w:rsidRPr="00BD2510">
        <w:rPr>
          <w:rFonts w:eastAsia="Times New Roman" w:cstheme="minorHAnsi"/>
          <w:color w:val="212529"/>
          <w:sz w:val="24"/>
          <w:szCs w:val="24"/>
        </w:rPr>
        <w:t xml:space="preserve">Capital subsidies, by contrast, are specifically for funding capital assets and are reported elsewhere (e.g., as nonoperating revenue/expense related to financing). </w:t>
      </w:r>
    </w:p>
    <w:p w14:paraId="7067B101" w14:textId="5D5D0A6A" w:rsidR="006E0373" w:rsidRDefault="003E67E2" w:rsidP="0050449B">
      <w:pPr>
        <w:spacing w:after="160" w:line="259" w:lineRule="auto"/>
        <w:rPr>
          <w:rFonts w:cstheme="minorHAnsi"/>
          <w:b/>
          <w:sz w:val="24"/>
          <w:szCs w:val="24"/>
          <w:u w:val="single"/>
        </w:rPr>
      </w:pPr>
      <w:r>
        <w:rPr>
          <w:rFonts w:eastAsia="Times New Roman" w:cstheme="minorHAnsi"/>
          <w:color w:val="212529"/>
          <w:sz w:val="24"/>
          <w:szCs w:val="24"/>
        </w:rPr>
        <w:t xml:space="preserve">NACUBO Guidance: </w:t>
      </w:r>
      <w:r w:rsidR="0050449B" w:rsidRPr="0050449B">
        <w:rPr>
          <w:rFonts w:eastAsia="Times New Roman" w:cstheme="minorHAnsi"/>
          <w:color w:val="212529"/>
          <w:sz w:val="24"/>
          <w:szCs w:val="24"/>
        </w:rPr>
        <w:t>https://www.nacubo.org/News/2024/6/GASB-Issues-Statement-on-Financial-Reporting-Model-Improvements</w:t>
      </w:r>
    </w:p>
    <w:p w14:paraId="5818ECCB" w14:textId="77777777" w:rsidR="00C251AF" w:rsidRDefault="00C251AF" w:rsidP="00093AD9">
      <w:pPr>
        <w:pStyle w:val="ListParagraph"/>
        <w:ind w:left="0"/>
        <w:rPr>
          <w:rFonts w:cstheme="minorHAnsi"/>
          <w:b/>
          <w:sz w:val="24"/>
          <w:szCs w:val="24"/>
          <w:u w:val="single"/>
        </w:rPr>
      </w:pPr>
    </w:p>
    <w:p w14:paraId="651BD4C3" w14:textId="467E70D6" w:rsidR="007321E7" w:rsidRPr="006D53D7" w:rsidRDefault="007321E7" w:rsidP="00093AD9">
      <w:pPr>
        <w:pStyle w:val="ListParagraph"/>
        <w:ind w:left="0"/>
        <w:rPr>
          <w:rFonts w:cstheme="minorHAnsi"/>
          <w:b/>
          <w:sz w:val="24"/>
          <w:szCs w:val="24"/>
        </w:rPr>
      </w:pPr>
      <w:r w:rsidRPr="006D53D7">
        <w:rPr>
          <w:rFonts w:cstheme="minorHAnsi"/>
          <w:b/>
          <w:sz w:val="24"/>
          <w:szCs w:val="24"/>
          <w:u w:val="single"/>
        </w:rPr>
        <w:t>GASB State No. 104 – Disclosure of Certain Capital Assets</w:t>
      </w:r>
      <w:r w:rsidR="00883BE7" w:rsidRPr="006D53D7">
        <w:rPr>
          <w:rFonts w:cstheme="minorHAnsi"/>
          <w:b/>
          <w:sz w:val="24"/>
          <w:szCs w:val="24"/>
          <w:u w:val="single"/>
        </w:rPr>
        <w:t xml:space="preserve"> </w:t>
      </w:r>
      <w:r w:rsidR="00883BE7" w:rsidRPr="006D53D7">
        <w:rPr>
          <w:rFonts w:cstheme="minorHAnsi"/>
          <w:b/>
          <w:sz w:val="24"/>
          <w:szCs w:val="24"/>
        </w:rPr>
        <w:t>(L</w:t>
      </w:r>
      <w:r w:rsidR="000874AF">
        <w:rPr>
          <w:rFonts w:cstheme="minorHAnsi"/>
          <w:b/>
          <w:sz w:val="24"/>
          <w:szCs w:val="24"/>
        </w:rPr>
        <w:t>eanna</w:t>
      </w:r>
      <w:r w:rsidR="00883BE7" w:rsidRPr="006D53D7">
        <w:rPr>
          <w:rFonts w:cstheme="minorHAnsi"/>
          <w:b/>
          <w:sz w:val="24"/>
          <w:szCs w:val="24"/>
        </w:rPr>
        <w:t>)</w:t>
      </w:r>
    </w:p>
    <w:p w14:paraId="281F0FE8" w14:textId="4B60CC2F" w:rsidR="007321E7" w:rsidRPr="006D53D7" w:rsidRDefault="007321E7" w:rsidP="00093AD9">
      <w:pPr>
        <w:pStyle w:val="ListParagraph"/>
        <w:ind w:left="0"/>
        <w:rPr>
          <w:rFonts w:cstheme="minorHAnsi"/>
          <w:sz w:val="24"/>
          <w:szCs w:val="24"/>
        </w:rPr>
      </w:pPr>
      <w:r w:rsidRPr="006D53D7">
        <w:rPr>
          <w:rFonts w:cstheme="minorHAnsi"/>
          <w:sz w:val="24"/>
          <w:szCs w:val="24"/>
        </w:rPr>
        <w:t>Effective Date: Fiscal years beginning after June 15, 2025 (FY26). (See actual GASB 104 for details)</w:t>
      </w:r>
    </w:p>
    <w:p w14:paraId="6D770EE2" w14:textId="0276D194" w:rsidR="00225A69" w:rsidRPr="006D53D7" w:rsidRDefault="007321E7" w:rsidP="006D53D7">
      <w:pPr>
        <w:spacing w:before="120" w:after="120"/>
        <w:rPr>
          <w:rFonts w:eastAsia="Times New Roman" w:cstheme="minorHAnsi"/>
          <w:color w:val="212529"/>
          <w:sz w:val="24"/>
          <w:szCs w:val="24"/>
        </w:rPr>
      </w:pPr>
      <w:r w:rsidRPr="006D53D7">
        <w:rPr>
          <w:rFonts w:eastAsia="Times New Roman" w:cstheme="minorHAnsi"/>
          <w:color w:val="212529"/>
          <w:sz w:val="24"/>
          <w:szCs w:val="24"/>
        </w:rPr>
        <w:t xml:space="preserve">This Statement </w:t>
      </w:r>
      <w:r w:rsidR="00093AD9" w:rsidRPr="006D53D7">
        <w:rPr>
          <w:rFonts w:eastAsia="Times New Roman" w:cstheme="minorHAnsi"/>
          <w:color w:val="212529"/>
          <w:sz w:val="24"/>
          <w:szCs w:val="24"/>
        </w:rPr>
        <w:t>establishes requirements for capital assets held for sale and requires additional disclosures of four types capital assets.</w:t>
      </w:r>
    </w:p>
    <w:p w14:paraId="3ECB1542" w14:textId="77777777" w:rsidR="006D53D7" w:rsidRPr="006D53D7" w:rsidRDefault="006D53D7" w:rsidP="006D53D7">
      <w:pPr>
        <w:spacing w:before="120" w:after="120"/>
        <w:rPr>
          <w:rFonts w:eastAsia="Times New Roman" w:cstheme="minorHAnsi"/>
          <w:color w:val="212529"/>
          <w:sz w:val="24"/>
          <w:szCs w:val="24"/>
        </w:rPr>
      </w:pPr>
      <w:r w:rsidRPr="006D53D7">
        <w:rPr>
          <w:rFonts w:eastAsia="Times New Roman" w:cstheme="minorHAnsi"/>
          <w:color w:val="212529"/>
          <w:sz w:val="24"/>
          <w:szCs w:val="24"/>
        </w:rPr>
        <w:t xml:space="preserve">Capital assets held for sale is defined as: (a) the government has decided to pursue the sale of the asset, and (b) it is probable the sale will be finalized within a year of the financial statement date. </w:t>
      </w:r>
    </w:p>
    <w:p w14:paraId="0FFB52FB" w14:textId="5F222C19" w:rsidR="006D53D7" w:rsidRPr="006D53D7" w:rsidRDefault="006D53D7" w:rsidP="006D53D7">
      <w:pPr>
        <w:spacing w:before="120" w:after="120"/>
        <w:rPr>
          <w:rFonts w:eastAsia="Times New Roman" w:cstheme="minorHAnsi"/>
          <w:color w:val="212529"/>
          <w:sz w:val="24"/>
          <w:szCs w:val="24"/>
        </w:rPr>
      </w:pPr>
      <w:r w:rsidRPr="006D53D7">
        <w:rPr>
          <w:rFonts w:eastAsia="Times New Roman" w:cstheme="minorHAnsi"/>
          <w:color w:val="212529"/>
          <w:sz w:val="24"/>
          <w:szCs w:val="24"/>
        </w:rPr>
        <w:t>If determined to have Capital asset held for sale must disclose in a note:</w:t>
      </w:r>
    </w:p>
    <w:p w14:paraId="60A2D8ED" w14:textId="77777777" w:rsidR="006D53D7" w:rsidRPr="006D53D7" w:rsidRDefault="006D53D7" w:rsidP="006D53D7">
      <w:pPr>
        <w:pStyle w:val="ListParagraph"/>
        <w:numPr>
          <w:ilvl w:val="0"/>
          <w:numId w:val="1"/>
        </w:numPr>
        <w:spacing w:before="120" w:after="120"/>
        <w:rPr>
          <w:rFonts w:eastAsia="Times New Roman" w:cstheme="minorHAnsi"/>
          <w:color w:val="212529"/>
          <w:sz w:val="24"/>
          <w:szCs w:val="24"/>
        </w:rPr>
      </w:pPr>
      <w:r w:rsidRPr="006D53D7">
        <w:rPr>
          <w:rFonts w:eastAsia="Times New Roman" w:cstheme="minorHAnsi"/>
          <w:color w:val="212529"/>
          <w:sz w:val="24"/>
          <w:szCs w:val="24"/>
        </w:rPr>
        <w:t xml:space="preserve">the ending balance of capital assets held for sale </w:t>
      </w:r>
    </w:p>
    <w:p w14:paraId="3AABF13F" w14:textId="28EB2979" w:rsidR="006D53D7" w:rsidRPr="006D53D7" w:rsidRDefault="006D53D7" w:rsidP="006D53D7">
      <w:pPr>
        <w:pStyle w:val="ListParagraph"/>
        <w:numPr>
          <w:ilvl w:val="0"/>
          <w:numId w:val="1"/>
        </w:numPr>
        <w:spacing w:before="120" w:after="120"/>
        <w:rPr>
          <w:rFonts w:eastAsia="Times New Roman" w:cstheme="minorHAnsi"/>
          <w:color w:val="212529"/>
          <w:sz w:val="24"/>
          <w:szCs w:val="24"/>
        </w:rPr>
      </w:pPr>
      <w:r w:rsidRPr="006D53D7">
        <w:rPr>
          <w:rFonts w:eastAsia="Times New Roman" w:cstheme="minorHAnsi"/>
          <w:color w:val="212529"/>
          <w:sz w:val="24"/>
          <w:szCs w:val="24"/>
        </w:rPr>
        <w:t>separate disclosure for historical cost and accumulated depreciation (amortization) by major class of asset</w:t>
      </w:r>
    </w:p>
    <w:p w14:paraId="16A4ED5A" w14:textId="7BA1BD63" w:rsidR="006D53D7" w:rsidRPr="000564C5" w:rsidRDefault="006D53D7" w:rsidP="006D53D7">
      <w:pPr>
        <w:pStyle w:val="ListParagraph"/>
        <w:numPr>
          <w:ilvl w:val="0"/>
          <w:numId w:val="1"/>
        </w:numPr>
        <w:spacing w:before="120" w:after="120"/>
        <w:rPr>
          <w:rFonts w:eastAsia="Times New Roman" w:cstheme="minorHAnsi"/>
          <w:color w:val="212529"/>
          <w:sz w:val="24"/>
          <w:szCs w:val="24"/>
        </w:rPr>
      </w:pPr>
      <w:r w:rsidRPr="006D53D7">
        <w:rPr>
          <w:rFonts w:eastAsia="Times New Roman" w:cstheme="minorHAnsi"/>
          <w:color w:val="212529"/>
          <w:sz w:val="24"/>
          <w:szCs w:val="24"/>
        </w:rPr>
        <w:t xml:space="preserve">the carrying amount of debt for which the capital assets held for sale are pledged as collateral for each </w:t>
      </w:r>
      <w:r w:rsidRPr="000564C5">
        <w:rPr>
          <w:rFonts w:eastAsia="Times New Roman" w:cstheme="minorHAnsi"/>
          <w:color w:val="212529"/>
          <w:sz w:val="24"/>
          <w:szCs w:val="24"/>
        </w:rPr>
        <w:t>major class of asset.</w:t>
      </w:r>
    </w:p>
    <w:p w14:paraId="30D0D7AB" w14:textId="77777777" w:rsidR="000874AF" w:rsidRDefault="000874AF" w:rsidP="00093AD9">
      <w:pPr>
        <w:rPr>
          <w:rFonts w:eastAsia="Times New Roman" w:cstheme="minorHAnsi"/>
          <w:color w:val="212529"/>
          <w:sz w:val="24"/>
          <w:szCs w:val="24"/>
        </w:rPr>
      </w:pPr>
    </w:p>
    <w:p w14:paraId="5FFF6D15" w14:textId="019E4BDC" w:rsidR="00093AD9" w:rsidRPr="000564C5" w:rsidRDefault="00093AD9" w:rsidP="00093AD9">
      <w:pPr>
        <w:rPr>
          <w:b/>
        </w:rPr>
      </w:pPr>
      <w:r w:rsidRPr="000564C5">
        <w:rPr>
          <w:b/>
        </w:rPr>
        <w:t xml:space="preserve">GASB 104 addresses the four types of capital assets that </w:t>
      </w:r>
      <w:r w:rsidR="000564C5" w:rsidRPr="000564C5">
        <w:rPr>
          <w:b/>
        </w:rPr>
        <w:t>now need to be</w:t>
      </w:r>
      <w:r w:rsidRPr="000564C5">
        <w:rPr>
          <w:b/>
        </w:rPr>
        <w:t xml:space="preserve"> disclosed separately </w:t>
      </w:r>
      <w:r w:rsidR="000564C5" w:rsidRPr="000564C5">
        <w:rPr>
          <w:b/>
        </w:rPr>
        <w:t xml:space="preserve">by major class of underlying asset (building, equipment etc.) </w:t>
      </w:r>
      <w:r w:rsidRPr="000564C5">
        <w:rPr>
          <w:b/>
        </w:rPr>
        <w:t xml:space="preserve">in </w:t>
      </w:r>
      <w:r w:rsidR="000564C5" w:rsidRPr="000564C5">
        <w:rPr>
          <w:b/>
        </w:rPr>
        <w:t>your capital asset note disclosure</w:t>
      </w:r>
      <w:r w:rsidRPr="000564C5">
        <w:rPr>
          <w:b/>
        </w:rPr>
        <w:t>:</w:t>
      </w:r>
    </w:p>
    <w:p w14:paraId="256D89A1" w14:textId="153146F0" w:rsidR="00093AD9" w:rsidRPr="000564C5" w:rsidRDefault="00093AD9" w:rsidP="00093AD9">
      <w:pPr>
        <w:pStyle w:val="ListParagraph"/>
        <w:numPr>
          <w:ilvl w:val="0"/>
          <w:numId w:val="19"/>
        </w:numPr>
        <w:spacing w:before="120"/>
        <w:rPr>
          <w:rFonts w:eastAsia="Times New Roman" w:cstheme="minorHAnsi"/>
          <w:color w:val="212529"/>
          <w:sz w:val="24"/>
          <w:szCs w:val="24"/>
        </w:rPr>
      </w:pPr>
      <w:r w:rsidRPr="000564C5">
        <w:rPr>
          <w:rFonts w:eastAsia="Times New Roman" w:cstheme="minorHAnsi"/>
          <w:color w:val="212529"/>
          <w:sz w:val="24"/>
          <w:szCs w:val="24"/>
        </w:rPr>
        <w:t>Lease assets reported under Statement 87, by major class of underlying asset</w:t>
      </w:r>
      <w:r w:rsidR="00DF1A71" w:rsidRPr="000564C5">
        <w:rPr>
          <w:rFonts w:eastAsia="Times New Roman" w:cstheme="minorHAnsi"/>
          <w:color w:val="212529"/>
          <w:sz w:val="24"/>
          <w:szCs w:val="24"/>
        </w:rPr>
        <w:t>.</w:t>
      </w:r>
    </w:p>
    <w:p w14:paraId="7645A014" w14:textId="724BB07D" w:rsidR="00093AD9" w:rsidRPr="000564C5" w:rsidRDefault="00093AD9" w:rsidP="00093AD9">
      <w:pPr>
        <w:pStyle w:val="ListParagraph"/>
        <w:numPr>
          <w:ilvl w:val="0"/>
          <w:numId w:val="19"/>
        </w:numPr>
        <w:spacing w:before="120"/>
        <w:rPr>
          <w:rFonts w:eastAsia="Times New Roman" w:cstheme="minorHAnsi"/>
          <w:color w:val="212529"/>
          <w:sz w:val="24"/>
          <w:szCs w:val="24"/>
        </w:rPr>
      </w:pPr>
      <w:r w:rsidRPr="000564C5">
        <w:rPr>
          <w:rFonts w:eastAsia="Times New Roman" w:cstheme="minorHAnsi"/>
          <w:color w:val="212529"/>
          <w:sz w:val="24"/>
          <w:szCs w:val="24"/>
        </w:rPr>
        <w:t>Intangible right-to-use assets recognized by an operator under Statement 94, by major class of underlying asset</w:t>
      </w:r>
      <w:r w:rsidR="00DF1A71" w:rsidRPr="000564C5">
        <w:rPr>
          <w:rFonts w:eastAsia="Times New Roman" w:cstheme="minorHAnsi"/>
          <w:color w:val="212529"/>
          <w:sz w:val="24"/>
          <w:szCs w:val="24"/>
        </w:rPr>
        <w:t>.</w:t>
      </w:r>
    </w:p>
    <w:p w14:paraId="681B211D" w14:textId="69F4A3AA" w:rsidR="00093AD9" w:rsidRPr="000564C5" w:rsidRDefault="00093AD9" w:rsidP="00093AD9">
      <w:pPr>
        <w:pStyle w:val="ListParagraph"/>
        <w:numPr>
          <w:ilvl w:val="0"/>
          <w:numId w:val="19"/>
        </w:numPr>
        <w:spacing w:before="120"/>
        <w:rPr>
          <w:rFonts w:eastAsia="Times New Roman" w:cstheme="minorHAnsi"/>
          <w:color w:val="212529"/>
          <w:sz w:val="24"/>
          <w:szCs w:val="24"/>
        </w:rPr>
      </w:pPr>
      <w:r w:rsidRPr="000564C5">
        <w:rPr>
          <w:rFonts w:eastAsia="Times New Roman" w:cstheme="minorHAnsi"/>
          <w:color w:val="212529"/>
          <w:sz w:val="24"/>
          <w:szCs w:val="24"/>
        </w:rPr>
        <w:t>Subscription assets reported under Statement 96</w:t>
      </w:r>
      <w:r w:rsidR="00DF1A71" w:rsidRPr="000564C5">
        <w:rPr>
          <w:rFonts w:eastAsia="Times New Roman" w:cstheme="minorHAnsi"/>
          <w:color w:val="212529"/>
          <w:sz w:val="24"/>
          <w:szCs w:val="24"/>
        </w:rPr>
        <w:t>.</w:t>
      </w:r>
    </w:p>
    <w:p w14:paraId="50DD638B" w14:textId="1FB19A10" w:rsidR="007321E7" w:rsidRPr="000564C5" w:rsidRDefault="00093AD9" w:rsidP="00093AD9">
      <w:pPr>
        <w:pStyle w:val="ListParagraph"/>
        <w:numPr>
          <w:ilvl w:val="0"/>
          <w:numId w:val="19"/>
        </w:numPr>
        <w:spacing w:before="120"/>
        <w:rPr>
          <w:rFonts w:eastAsia="Times New Roman" w:cstheme="minorHAnsi"/>
          <w:color w:val="212529"/>
          <w:sz w:val="24"/>
          <w:szCs w:val="24"/>
        </w:rPr>
      </w:pPr>
      <w:r w:rsidRPr="000564C5">
        <w:rPr>
          <w:rFonts w:eastAsia="Times New Roman" w:cstheme="minorHAnsi"/>
          <w:color w:val="212529"/>
          <w:sz w:val="24"/>
          <w:szCs w:val="24"/>
        </w:rPr>
        <w:t xml:space="preserve">Intangible assets other than those listed in items 1-3, by major class of asset. </w:t>
      </w:r>
    </w:p>
    <w:p w14:paraId="4B3C50DF" w14:textId="4F411D28" w:rsidR="007321E7" w:rsidRDefault="007321E7" w:rsidP="007321E7">
      <w:pPr>
        <w:pStyle w:val="ListParagraph"/>
        <w:ind w:left="360"/>
        <w:rPr>
          <w:rFonts w:cstheme="minorHAnsi"/>
          <w:b/>
          <w:sz w:val="24"/>
          <w:szCs w:val="24"/>
        </w:rPr>
      </w:pPr>
    </w:p>
    <w:p w14:paraId="10087993" w14:textId="77777777" w:rsidR="00C251AF" w:rsidRDefault="00C251AF" w:rsidP="007321E7">
      <w:pPr>
        <w:pStyle w:val="ListParagraph"/>
        <w:ind w:left="360"/>
        <w:rPr>
          <w:rFonts w:cstheme="minorHAnsi"/>
          <w:b/>
          <w:sz w:val="24"/>
          <w:szCs w:val="24"/>
        </w:rPr>
      </w:pPr>
    </w:p>
    <w:p w14:paraId="51116F4A" w14:textId="42263058" w:rsidR="00366092" w:rsidRPr="004B76B9" w:rsidRDefault="001048BC" w:rsidP="004B76B9">
      <w:pPr>
        <w:pStyle w:val="ListParagraph"/>
        <w:numPr>
          <w:ilvl w:val="0"/>
          <w:numId w:val="1"/>
        </w:numPr>
        <w:rPr>
          <w:rFonts w:cstheme="minorHAnsi"/>
          <w:b/>
          <w:sz w:val="24"/>
          <w:szCs w:val="24"/>
        </w:rPr>
      </w:pPr>
      <w:r w:rsidRPr="004821C1">
        <w:rPr>
          <w:rFonts w:cstheme="minorHAnsi"/>
          <w:b/>
          <w:sz w:val="24"/>
          <w:szCs w:val="24"/>
        </w:rPr>
        <w:t xml:space="preserve">Other </w:t>
      </w:r>
      <w:r w:rsidR="009B0EAF" w:rsidRPr="004821C1">
        <w:rPr>
          <w:rFonts w:cstheme="minorHAnsi"/>
          <w:b/>
          <w:sz w:val="24"/>
          <w:szCs w:val="24"/>
        </w:rPr>
        <w:t>Topics:</w:t>
      </w:r>
      <w:r w:rsidR="00A5455B">
        <w:rPr>
          <w:rFonts w:cstheme="minorHAnsi"/>
          <w:b/>
          <w:sz w:val="24"/>
          <w:szCs w:val="24"/>
        </w:rPr>
        <w:t xml:space="preserve"> (</w:t>
      </w:r>
      <w:r w:rsidR="004003CA">
        <w:rPr>
          <w:rFonts w:cstheme="minorHAnsi"/>
          <w:b/>
          <w:sz w:val="24"/>
          <w:szCs w:val="24"/>
        </w:rPr>
        <w:t>Leslie</w:t>
      </w:r>
      <w:r w:rsidR="00A5455B">
        <w:rPr>
          <w:rFonts w:cstheme="minorHAnsi"/>
          <w:b/>
          <w:sz w:val="24"/>
          <w:szCs w:val="24"/>
        </w:rPr>
        <w:t>)</w:t>
      </w:r>
    </w:p>
    <w:p w14:paraId="6F4E8CD5" w14:textId="03A18F40" w:rsidR="006F5A50" w:rsidRDefault="004B76B9" w:rsidP="004B76B9">
      <w:pPr>
        <w:pStyle w:val="ListParagraph"/>
        <w:numPr>
          <w:ilvl w:val="1"/>
          <w:numId w:val="1"/>
        </w:numPr>
        <w:rPr>
          <w:rFonts w:cstheme="minorHAnsi"/>
          <w:b/>
          <w:sz w:val="24"/>
          <w:szCs w:val="24"/>
        </w:rPr>
      </w:pPr>
      <w:r>
        <w:rPr>
          <w:rFonts w:cstheme="minorHAnsi"/>
          <w:b/>
          <w:sz w:val="24"/>
          <w:szCs w:val="24"/>
        </w:rPr>
        <w:t>Bank Reconciliation software vendors</w:t>
      </w:r>
      <w:r w:rsidR="006F5A50" w:rsidRPr="004821C1">
        <w:rPr>
          <w:rFonts w:cstheme="minorHAnsi"/>
          <w:b/>
          <w:sz w:val="24"/>
          <w:szCs w:val="24"/>
        </w:rPr>
        <w:t xml:space="preserve">  </w:t>
      </w:r>
    </w:p>
    <w:p w14:paraId="12450A6F" w14:textId="357D5AEA" w:rsidR="005C4588" w:rsidRPr="001F11D0" w:rsidRDefault="005C4588" w:rsidP="001F11D0">
      <w:pPr>
        <w:pStyle w:val="ListParagraph"/>
        <w:numPr>
          <w:ilvl w:val="2"/>
          <w:numId w:val="1"/>
        </w:numPr>
        <w:shd w:val="clear" w:color="auto" w:fill="FFFFFF"/>
        <w:spacing w:before="120" w:after="100" w:afterAutospacing="1"/>
        <w:rPr>
          <w:rFonts w:eastAsia="Times New Roman" w:cstheme="minorHAnsi"/>
          <w:color w:val="212427"/>
          <w:sz w:val="24"/>
          <w:szCs w:val="24"/>
        </w:rPr>
      </w:pPr>
      <w:r w:rsidRPr="001F11D0">
        <w:rPr>
          <w:rFonts w:eastAsia="Times New Roman" w:cstheme="minorHAnsi"/>
          <w:color w:val="212427"/>
          <w:sz w:val="24"/>
          <w:szCs w:val="24"/>
        </w:rPr>
        <w:t>Looking for suggestions on more efficient ways to reconcile banks and investment statements and credit card statements</w:t>
      </w:r>
      <w:r w:rsidR="00366092" w:rsidRPr="001F11D0">
        <w:rPr>
          <w:rFonts w:eastAsia="Times New Roman" w:cstheme="minorHAnsi"/>
          <w:color w:val="212427"/>
          <w:sz w:val="24"/>
          <w:szCs w:val="24"/>
        </w:rPr>
        <w:t>.</w:t>
      </w:r>
      <w:r w:rsidRPr="001F11D0">
        <w:rPr>
          <w:rFonts w:eastAsia="Times New Roman" w:cstheme="minorHAnsi"/>
          <w:color w:val="212427"/>
          <w:sz w:val="24"/>
          <w:szCs w:val="24"/>
        </w:rPr>
        <w:t xml:space="preserve">  </w:t>
      </w:r>
    </w:p>
    <w:p w14:paraId="25158F23" w14:textId="1A675CFA" w:rsidR="005C4588" w:rsidRPr="001F11D0" w:rsidRDefault="005C4588" w:rsidP="001F11D0">
      <w:pPr>
        <w:pStyle w:val="ListParagraph"/>
        <w:numPr>
          <w:ilvl w:val="2"/>
          <w:numId w:val="1"/>
        </w:numPr>
        <w:shd w:val="clear" w:color="auto" w:fill="FFFFFF"/>
        <w:spacing w:before="100" w:beforeAutospacing="1" w:after="100" w:afterAutospacing="1"/>
        <w:rPr>
          <w:rFonts w:eastAsia="Times New Roman" w:cstheme="minorHAnsi"/>
          <w:color w:val="212427"/>
          <w:sz w:val="24"/>
          <w:szCs w:val="24"/>
        </w:rPr>
      </w:pPr>
      <w:r w:rsidRPr="001F11D0">
        <w:rPr>
          <w:rFonts w:eastAsia="Times New Roman" w:cstheme="minorHAnsi"/>
          <w:color w:val="212427"/>
          <w:sz w:val="24"/>
          <w:szCs w:val="24"/>
        </w:rPr>
        <w:t>What vendors does any agency use?</w:t>
      </w:r>
    </w:p>
    <w:p w14:paraId="43014911" w14:textId="313DE845" w:rsidR="00590647" w:rsidRPr="006754C4" w:rsidRDefault="00590647" w:rsidP="00590647">
      <w:pPr>
        <w:pStyle w:val="ListParagraph"/>
        <w:numPr>
          <w:ilvl w:val="0"/>
          <w:numId w:val="4"/>
        </w:numPr>
        <w:shd w:val="clear" w:color="auto" w:fill="FFFFFF"/>
        <w:spacing w:after="100" w:afterAutospacing="1"/>
        <w:outlineLvl w:val="1"/>
        <w:rPr>
          <w:rFonts w:eastAsia="Times New Roman" w:cstheme="minorHAnsi"/>
          <w:b/>
          <w:sz w:val="24"/>
          <w:szCs w:val="24"/>
        </w:rPr>
      </w:pPr>
      <w:r w:rsidRPr="006754C4">
        <w:rPr>
          <w:rFonts w:eastAsia="Times New Roman" w:cstheme="minorHAnsi"/>
          <w:b/>
          <w:sz w:val="24"/>
          <w:szCs w:val="24"/>
        </w:rPr>
        <w:t>Any audits of accounting relevance</w:t>
      </w:r>
      <w:r w:rsidR="001F11D0">
        <w:rPr>
          <w:rFonts w:eastAsia="Times New Roman" w:cstheme="minorHAnsi"/>
          <w:b/>
          <w:sz w:val="24"/>
          <w:szCs w:val="24"/>
        </w:rPr>
        <w:t xml:space="preserve"> to share</w:t>
      </w:r>
      <w:r w:rsidRPr="006754C4">
        <w:rPr>
          <w:rFonts w:eastAsia="Times New Roman" w:cstheme="minorHAnsi"/>
          <w:b/>
          <w:sz w:val="24"/>
          <w:szCs w:val="24"/>
        </w:rPr>
        <w:t>?</w:t>
      </w:r>
    </w:p>
    <w:p w14:paraId="5E39238F" w14:textId="16A18E39" w:rsidR="00416850" w:rsidRDefault="00416850" w:rsidP="001F11D0">
      <w:pPr>
        <w:pStyle w:val="ListParagraph"/>
        <w:numPr>
          <w:ilvl w:val="0"/>
          <w:numId w:val="4"/>
        </w:numPr>
        <w:contextualSpacing w:val="0"/>
        <w:rPr>
          <w:rStyle w:val="Hyperlink"/>
          <w:rFonts w:eastAsia="Times New Roman" w:cstheme="minorHAnsi"/>
          <w:b/>
          <w:color w:val="auto"/>
          <w:sz w:val="24"/>
          <w:szCs w:val="24"/>
          <w:u w:val="none"/>
        </w:rPr>
      </w:pPr>
      <w:r>
        <w:rPr>
          <w:rStyle w:val="Hyperlink"/>
          <w:rFonts w:eastAsia="Times New Roman" w:cstheme="minorHAnsi"/>
          <w:b/>
          <w:color w:val="auto"/>
          <w:sz w:val="24"/>
          <w:szCs w:val="24"/>
          <w:u w:val="none"/>
        </w:rPr>
        <w:t>New APC Co-Chair</w:t>
      </w:r>
      <w:r w:rsidR="007A44DC">
        <w:rPr>
          <w:rStyle w:val="Hyperlink"/>
          <w:rFonts w:eastAsia="Times New Roman" w:cstheme="minorHAnsi"/>
          <w:b/>
          <w:color w:val="auto"/>
          <w:sz w:val="24"/>
          <w:szCs w:val="24"/>
          <w:u w:val="none"/>
        </w:rPr>
        <w:t xml:space="preserve">s needed (3 </w:t>
      </w:r>
      <w:proofErr w:type="spellStart"/>
      <w:r w:rsidR="007A44DC">
        <w:rPr>
          <w:rStyle w:val="Hyperlink"/>
          <w:rFonts w:eastAsia="Times New Roman" w:cstheme="minorHAnsi"/>
          <w:b/>
          <w:color w:val="auto"/>
          <w:sz w:val="24"/>
          <w:szCs w:val="24"/>
          <w:u w:val="none"/>
        </w:rPr>
        <w:t>yr</w:t>
      </w:r>
      <w:proofErr w:type="spellEnd"/>
      <w:r w:rsidR="007A44DC">
        <w:rPr>
          <w:rStyle w:val="Hyperlink"/>
          <w:rFonts w:eastAsia="Times New Roman" w:cstheme="minorHAnsi"/>
          <w:b/>
          <w:color w:val="auto"/>
          <w:sz w:val="24"/>
          <w:szCs w:val="24"/>
          <w:u w:val="none"/>
        </w:rPr>
        <w:t xml:space="preserve"> term)</w:t>
      </w:r>
      <w:bookmarkStart w:id="1" w:name="_GoBack"/>
      <w:bookmarkEnd w:id="1"/>
    </w:p>
    <w:p w14:paraId="71A76383" w14:textId="761D5454" w:rsidR="00590647" w:rsidRPr="006754C4" w:rsidRDefault="001F11D0" w:rsidP="001F11D0">
      <w:pPr>
        <w:pStyle w:val="ListParagraph"/>
        <w:numPr>
          <w:ilvl w:val="0"/>
          <w:numId w:val="4"/>
        </w:numPr>
        <w:contextualSpacing w:val="0"/>
        <w:rPr>
          <w:rStyle w:val="Hyperlink"/>
          <w:rFonts w:eastAsia="Times New Roman" w:cstheme="minorHAnsi"/>
          <w:b/>
          <w:color w:val="auto"/>
          <w:sz w:val="24"/>
          <w:szCs w:val="24"/>
          <w:u w:val="none"/>
        </w:rPr>
      </w:pPr>
      <w:r>
        <w:rPr>
          <w:rStyle w:val="Hyperlink"/>
          <w:rFonts w:eastAsia="Times New Roman" w:cstheme="minorHAnsi"/>
          <w:b/>
          <w:color w:val="auto"/>
          <w:sz w:val="24"/>
          <w:szCs w:val="24"/>
          <w:u w:val="none"/>
        </w:rPr>
        <w:t>Open topic discussion</w:t>
      </w:r>
    </w:p>
    <w:p w14:paraId="6191D607" w14:textId="77777777" w:rsidR="001048BC" w:rsidRPr="004821C1" w:rsidRDefault="001048BC" w:rsidP="001048BC">
      <w:pPr>
        <w:pStyle w:val="ListParagraph"/>
        <w:ind w:left="1440"/>
        <w:rPr>
          <w:rFonts w:cstheme="minorHAnsi"/>
          <w:b/>
          <w:sz w:val="24"/>
          <w:szCs w:val="24"/>
        </w:rPr>
      </w:pPr>
    </w:p>
    <w:p w14:paraId="6F7FC797" w14:textId="244DF98F" w:rsidR="008D2B37" w:rsidRPr="004821C1" w:rsidRDefault="008D2B37" w:rsidP="00727F65">
      <w:pPr>
        <w:pStyle w:val="ListParagraph"/>
        <w:numPr>
          <w:ilvl w:val="0"/>
          <w:numId w:val="1"/>
        </w:numPr>
        <w:rPr>
          <w:rFonts w:cstheme="minorHAnsi"/>
          <w:b/>
          <w:sz w:val="24"/>
          <w:szCs w:val="24"/>
        </w:rPr>
      </w:pPr>
      <w:r w:rsidRPr="004821C1">
        <w:rPr>
          <w:rFonts w:cstheme="minorHAnsi"/>
          <w:b/>
          <w:sz w:val="24"/>
          <w:szCs w:val="24"/>
        </w:rPr>
        <w:t>Adjourn</w:t>
      </w:r>
    </w:p>
    <w:p w14:paraId="5C21723E" w14:textId="68EAE04B" w:rsidR="00230D73" w:rsidRPr="004821C1" w:rsidRDefault="00230D73" w:rsidP="008D2B37">
      <w:pPr>
        <w:pStyle w:val="ListParagraph"/>
        <w:rPr>
          <w:rFonts w:cstheme="minorHAnsi"/>
          <w:sz w:val="24"/>
          <w:szCs w:val="24"/>
        </w:rPr>
      </w:pPr>
    </w:p>
    <w:p w14:paraId="0A288C45" w14:textId="77777777" w:rsidR="00230D73" w:rsidRPr="009C611B" w:rsidRDefault="00230D73">
      <w:pPr>
        <w:rPr>
          <w:rFonts w:cstheme="minorHAnsi"/>
          <w:sz w:val="28"/>
          <w:szCs w:val="28"/>
        </w:rPr>
      </w:pPr>
    </w:p>
    <w:p w14:paraId="5099DB14" w14:textId="77777777" w:rsidR="00D849E1" w:rsidRPr="009C611B" w:rsidRDefault="00D849E1">
      <w:pPr>
        <w:rPr>
          <w:rFonts w:cstheme="minorHAnsi"/>
          <w:color w:val="FF0000"/>
          <w:sz w:val="28"/>
          <w:szCs w:val="28"/>
        </w:rPr>
      </w:pPr>
    </w:p>
    <w:sectPr w:rsidR="00D849E1" w:rsidRPr="009C611B" w:rsidSect="00AE4651">
      <w:pgSz w:w="12240" w:h="15840"/>
      <w:pgMar w:top="720" w:right="720"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1FA0"/>
    <w:multiLevelType w:val="hybridMultilevel"/>
    <w:tmpl w:val="D8E0BA2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9830A9"/>
    <w:multiLevelType w:val="hybridMultilevel"/>
    <w:tmpl w:val="DDDCE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FE7FE4"/>
    <w:multiLevelType w:val="hybridMultilevel"/>
    <w:tmpl w:val="68CE3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C69B0"/>
    <w:multiLevelType w:val="hybridMultilevel"/>
    <w:tmpl w:val="90DCC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A64831"/>
    <w:multiLevelType w:val="hybridMultilevel"/>
    <w:tmpl w:val="644074B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2370EE"/>
    <w:multiLevelType w:val="hybridMultilevel"/>
    <w:tmpl w:val="A19A2E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AC106FD"/>
    <w:multiLevelType w:val="multilevel"/>
    <w:tmpl w:val="74A096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9F0FE2"/>
    <w:multiLevelType w:val="hybridMultilevel"/>
    <w:tmpl w:val="0E7051E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8F036D"/>
    <w:multiLevelType w:val="hybridMultilevel"/>
    <w:tmpl w:val="25243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A5375C"/>
    <w:multiLevelType w:val="hybridMultilevel"/>
    <w:tmpl w:val="134CC3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5C400E"/>
    <w:multiLevelType w:val="hybridMultilevel"/>
    <w:tmpl w:val="12AEEE2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4710255"/>
    <w:multiLevelType w:val="hybridMultilevel"/>
    <w:tmpl w:val="5C2443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71025D3"/>
    <w:multiLevelType w:val="multilevel"/>
    <w:tmpl w:val="8F60E5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4D7284"/>
    <w:multiLevelType w:val="hybridMultilevel"/>
    <w:tmpl w:val="10A26F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A40593"/>
    <w:multiLevelType w:val="multilevel"/>
    <w:tmpl w:val="260C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5A4C46"/>
    <w:multiLevelType w:val="hybridMultilevel"/>
    <w:tmpl w:val="C4D0DD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4A16ECB"/>
    <w:multiLevelType w:val="hybridMultilevel"/>
    <w:tmpl w:val="76F895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F5F03A8"/>
    <w:multiLevelType w:val="hybridMultilevel"/>
    <w:tmpl w:val="BDAC1938"/>
    <w:lvl w:ilvl="0" w:tplc="1264060E">
      <w:start w:val="1"/>
      <w:numFmt w:val="decimal"/>
      <w:pStyle w:val="NotesHeadingAutoNum"/>
      <w:lvlText w:val="%1."/>
      <w:lvlJc w:val="left"/>
      <w:pPr>
        <w:tabs>
          <w:tab w:val="num" w:pos="5515"/>
        </w:tabs>
        <w:ind w:left="5515" w:hanging="475"/>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8" w15:restartNumberingAfterBreak="0">
    <w:nsid w:val="6A9D5A1B"/>
    <w:multiLevelType w:val="hybridMultilevel"/>
    <w:tmpl w:val="589E2BE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73681D7A"/>
    <w:multiLevelType w:val="hybridMultilevel"/>
    <w:tmpl w:val="017A0D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DCA738F"/>
    <w:multiLevelType w:val="hybridMultilevel"/>
    <w:tmpl w:val="F53466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DE92C07"/>
    <w:multiLevelType w:val="hybridMultilevel"/>
    <w:tmpl w:val="8536D2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8"/>
  </w:num>
  <w:num w:numId="5">
    <w:abstractNumId w:val="5"/>
  </w:num>
  <w:num w:numId="6">
    <w:abstractNumId w:val="10"/>
  </w:num>
  <w:num w:numId="7">
    <w:abstractNumId w:val="21"/>
  </w:num>
  <w:num w:numId="8">
    <w:abstractNumId w:val="12"/>
  </w:num>
  <w:num w:numId="9">
    <w:abstractNumId w:val="6"/>
  </w:num>
  <w:num w:numId="10">
    <w:abstractNumId w:val="19"/>
  </w:num>
  <w:num w:numId="11">
    <w:abstractNumId w:val="20"/>
  </w:num>
  <w:num w:numId="12">
    <w:abstractNumId w:val="14"/>
  </w:num>
  <w:num w:numId="13">
    <w:abstractNumId w:val="0"/>
  </w:num>
  <w:num w:numId="14">
    <w:abstractNumId w:val="1"/>
  </w:num>
  <w:num w:numId="15">
    <w:abstractNumId w:val="8"/>
  </w:num>
  <w:num w:numId="16">
    <w:abstractNumId w:val="13"/>
  </w:num>
  <w:num w:numId="17">
    <w:abstractNumId w:val="2"/>
  </w:num>
  <w:num w:numId="18">
    <w:abstractNumId w:val="7"/>
  </w:num>
  <w:num w:numId="19">
    <w:abstractNumId w:val="4"/>
  </w:num>
  <w:num w:numId="20">
    <w:abstractNumId w:val="3"/>
  </w:num>
  <w:num w:numId="21">
    <w:abstractNumId w:val="11"/>
  </w:num>
  <w:num w:numId="22">
    <w:abstractNumId w:val="1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73"/>
    <w:rsid w:val="00017A03"/>
    <w:rsid w:val="0002255F"/>
    <w:rsid w:val="000442F8"/>
    <w:rsid w:val="000564C5"/>
    <w:rsid w:val="00063969"/>
    <w:rsid w:val="00077329"/>
    <w:rsid w:val="000874AF"/>
    <w:rsid w:val="00093AD9"/>
    <w:rsid w:val="000E5261"/>
    <w:rsid w:val="000F6B86"/>
    <w:rsid w:val="001048BC"/>
    <w:rsid w:val="00132638"/>
    <w:rsid w:val="00153617"/>
    <w:rsid w:val="0016487A"/>
    <w:rsid w:val="001B5016"/>
    <w:rsid w:val="001D279A"/>
    <w:rsid w:val="001E39ED"/>
    <w:rsid w:val="001F11D0"/>
    <w:rsid w:val="001F2B6D"/>
    <w:rsid w:val="001F560B"/>
    <w:rsid w:val="00225A69"/>
    <w:rsid w:val="00230D73"/>
    <w:rsid w:val="00235DBA"/>
    <w:rsid w:val="002407B8"/>
    <w:rsid w:val="0024360C"/>
    <w:rsid w:val="002550AB"/>
    <w:rsid w:val="00261E4F"/>
    <w:rsid w:val="002662CD"/>
    <w:rsid w:val="00292799"/>
    <w:rsid w:val="002B5F7E"/>
    <w:rsid w:val="002C28CA"/>
    <w:rsid w:val="002D726C"/>
    <w:rsid w:val="002F0B72"/>
    <w:rsid w:val="00306722"/>
    <w:rsid w:val="00345C9E"/>
    <w:rsid w:val="003643BB"/>
    <w:rsid w:val="00366092"/>
    <w:rsid w:val="00377B88"/>
    <w:rsid w:val="0039401C"/>
    <w:rsid w:val="003B0AF3"/>
    <w:rsid w:val="003C2B13"/>
    <w:rsid w:val="003E1F91"/>
    <w:rsid w:val="003E67E2"/>
    <w:rsid w:val="003F7167"/>
    <w:rsid w:val="004003CA"/>
    <w:rsid w:val="004141D6"/>
    <w:rsid w:val="00416850"/>
    <w:rsid w:val="00440E58"/>
    <w:rsid w:val="004821C1"/>
    <w:rsid w:val="00482ABD"/>
    <w:rsid w:val="004933C5"/>
    <w:rsid w:val="00494C7E"/>
    <w:rsid w:val="004A7D4A"/>
    <w:rsid w:val="004A7D70"/>
    <w:rsid w:val="004B76B9"/>
    <w:rsid w:val="004C59F8"/>
    <w:rsid w:val="004E03D0"/>
    <w:rsid w:val="004E76D5"/>
    <w:rsid w:val="0050449B"/>
    <w:rsid w:val="0053329D"/>
    <w:rsid w:val="00550348"/>
    <w:rsid w:val="0057384D"/>
    <w:rsid w:val="005826DC"/>
    <w:rsid w:val="00590647"/>
    <w:rsid w:val="005A033B"/>
    <w:rsid w:val="005C2405"/>
    <w:rsid w:val="005C4588"/>
    <w:rsid w:val="005E5A1E"/>
    <w:rsid w:val="005E6C19"/>
    <w:rsid w:val="006114DE"/>
    <w:rsid w:val="00625AB6"/>
    <w:rsid w:val="006613A6"/>
    <w:rsid w:val="006754C4"/>
    <w:rsid w:val="006846DF"/>
    <w:rsid w:val="00685606"/>
    <w:rsid w:val="0069209A"/>
    <w:rsid w:val="00696587"/>
    <w:rsid w:val="006C0311"/>
    <w:rsid w:val="006D53D7"/>
    <w:rsid w:val="006D5864"/>
    <w:rsid w:val="006E0373"/>
    <w:rsid w:val="006E0638"/>
    <w:rsid w:val="006E2C7E"/>
    <w:rsid w:val="006E37AC"/>
    <w:rsid w:val="006E4F2F"/>
    <w:rsid w:val="006F3D35"/>
    <w:rsid w:val="006F5A50"/>
    <w:rsid w:val="00727F65"/>
    <w:rsid w:val="007321E7"/>
    <w:rsid w:val="00743410"/>
    <w:rsid w:val="00781590"/>
    <w:rsid w:val="0078698C"/>
    <w:rsid w:val="007A44DC"/>
    <w:rsid w:val="007F06A5"/>
    <w:rsid w:val="007F7176"/>
    <w:rsid w:val="008114A0"/>
    <w:rsid w:val="00883BE7"/>
    <w:rsid w:val="008A35A2"/>
    <w:rsid w:val="008D1D18"/>
    <w:rsid w:val="008D2B37"/>
    <w:rsid w:val="008E0FF1"/>
    <w:rsid w:val="008E6491"/>
    <w:rsid w:val="008F188B"/>
    <w:rsid w:val="008F4D53"/>
    <w:rsid w:val="00925B45"/>
    <w:rsid w:val="0092785A"/>
    <w:rsid w:val="00955F4B"/>
    <w:rsid w:val="00970ABA"/>
    <w:rsid w:val="009B0EAF"/>
    <w:rsid w:val="009C359D"/>
    <w:rsid w:val="009C611B"/>
    <w:rsid w:val="009D485D"/>
    <w:rsid w:val="009F0FFE"/>
    <w:rsid w:val="00A02AD6"/>
    <w:rsid w:val="00A05194"/>
    <w:rsid w:val="00A14168"/>
    <w:rsid w:val="00A170C1"/>
    <w:rsid w:val="00A3425D"/>
    <w:rsid w:val="00A5455B"/>
    <w:rsid w:val="00A54AB6"/>
    <w:rsid w:val="00AD58C1"/>
    <w:rsid w:val="00AE4651"/>
    <w:rsid w:val="00AF3D49"/>
    <w:rsid w:val="00B60F7B"/>
    <w:rsid w:val="00B8201E"/>
    <w:rsid w:val="00BA3C54"/>
    <w:rsid w:val="00BD2510"/>
    <w:rsid w:val="00BE23E2"/>
    <w:rsid w:val="00C126D1"/>
    <w:rsid w:val="00C24659"/>
    <w:rsid w:val="00C251AF"/>
    <w:rsid w:val="00C43BAF"/>
    <w:rsid w:val="00C620E3"/>
    <w:rsid w:val="00C841A3"/>
    <w:rsid w:val="00C97C77"/>
    <w:rsid w:val="00CA7436"/>
    <w:rsid w:val="00CE5B70"/>
    <w:rsid w:val="00D102EC"/>
    <w:rsid w:val="00D30DE9"/>
    <w:rsid w:val="00D37921"/>
    <w:rsid w:val="00D4678C"/>
    <w:rsid w:val="00D849E1"/>
    <w:rsid w:val="00DB36AF"/>
    <w:rsid w:val="00DC1AB6"/>
    <w:rsid w:val="00DD0DE3"/>
    <w:rsid w:val="00DE145D"/>
    <w:rsid w:val="00DF1A71"/>
    <w:rsid w:val="00E7454B"/>
    <w:rsid w:val="00EE079C"/>
    <w:rsid w:val="00EE653C"/>
    <w:rsid w:val="00EE6900"/>
    <w:rsid w:val="00F045EA"/>
    <w:rsid w:val="00F42CAD"/>
    <w:rsid w:val="00F47800"/>
    <w:rsid w:val="00F61EDC"/>
    <w:rsid w:val="00F63F5D"/>
    <w:rsid w:val="00F71C58"/>
    <w:rsid w:val="00F7434E"/>
    <w:rsid w:val="00F962BB"/>
    <w:rsid w:val="00FB6A31"/>
    <w:rsid w:val="00FC18CB"/>
    <w:rsid w:val="00FC7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EE5BE"/>
  <w15:chartTrackingRefBased/>
  <w15:docId w15:val="{86AC7DAE-E144-4CEC-B526-6E48CDCD6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0D7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D73"/>
    <w:pPr>
      <w:ind w:left="720"/>
      <w:contextualSpacing/>
    </w:pPr>
  </w:style>
  <w:style w:type="character" w:styleId="Hyperlink">
    <w:name w:val="Hyperlink"/>
    <w:basedOn w:val="DefaultParagraphFont"/>
    <w:uiPriority w:val="99"/>
    <w:unhideWhenUsed/>
    <w:rsid w:val="002550AB"/>
    <w:rPr>
      <w:color w:val="0563C1" w:themeColor="hyperlink"/>
      <w:u w:val="single"/>
    </w:rPr>
  </w:style>
  <w:style w:type="paragraph" w:customStyle="1" w:styleId="BTI">
    <w:name w:val="BTI"/>
    <w:basedOn w:val="Normal"/>
    <w:uiPriority w:val="99"/>
    <w:qFormat/>
    <w:rsid w:val="008D2B37"/>
    <w:pPr>
      <w:spacing w:after="240"/>
      <w:ind w:left="475"/>
    </w:pPr>
    <w:rPr>
      <w:rFonts w:ascii="Verdana" w:hAnsi="Verdana"/>
      <w:sz w:val="20"/>
    </w:rPr>
  </w:style>
  <w:style w:type="paragraph" w:customStyle="1" w:styleId="NotesHeadingAutoNum">
    <w:name w:val="Notes Heading AutoNum"/>
    <w:basedOn w:val="BTI"/>
    <w:next w:val="BTI"/>
    <w:qFormat/>
    <w:rsid w:val="008D2B37"/>
    <w:pPr>
      <w:keepNext/>
      <w:numPr>
        <w:numId w:val="3"/>
      </w:numPr>
      <w:tabs>
        <w:tab w:val="clear" w:pos="5515"/>
        <w:tab w:val="left" w:pos="475"/>
      </w:tabs>
      <w:ind w:left="475"/>
    </w:pPr>
    <w:rPr>
      <w:b/>
      <w:caps/>
    </w:rPr>
  </w:style>
  <w:style w:type="character" w:styleId="Emphasis">
    <w:name w:val="Emphasis"/>
    <w:basedOn w:val="DefaultParagraphFont"/>
    <w:uiPriority w:val="20"/>
    <w:qFormat/>
    <w:rsid w:val="009C611B"/>
    <w:rPr>
      <w:i/>
      <w:iCs/>
    </w:rPr>
  </w:style>
  <w:style w:type="character" w:customStyle="1" w:styleId="abbr">
    <w:name w:val="abbr"/>
    <w:basedOn w:val="DefaultParagraphFont"/>
    <w:rsid w:val="009C611B"/>
  </w:style>
  <w:style w:type="character" w:styleId="Strong">
    <w:name w:val="Strong"/>
    <w:basedOn w:val="DefaultParagraphFont"/>
    <w:uiPriority w:val="22"/>
    <w:qFormat/>
    <w:rsid w:val="002C28CA"/>
    <w:rPr>
      <w:b/>
      <w:bCs/>
    </w:rPr>
  </w:style>
  <w:style w:type="paragraph" w:styleId="NormalWeb">
    <w:name w:val="Normal (Web)"/>
    <w:basedOn w:val="Normal"/>
    <w:uiPriority w:val="99"/>
    <w:unhideWhenUsed/>
    <w:rsid w:val="00235DBA"/>
    <w:rPr>
      <w:rFonts w:ascii="Times New Roman" w:hAnsi="Times New Roman" w:cs="Times New Roman"/>
      <w:sz w:val="24"/>
      <w:szCs w:val="24"/>
    </w:rPr>
  </w:style>
  <w:style w:type="paragraph" w:styleId="NoSpacing">
    <w:name w:val="No Spacing"/>
    <w:uiPriority w:val="1"/>
    <w:qFormat/>
    <w:rsid w:val="00DC1A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49494">
      <w:bodyDiv w:val="1"/>
      <w:marLeft w:val="0"/>
      <w:marRight w:val="0"/>
      <w:marTop w:val="0"/>
      <w:marBottom w:val="0"/>
      <w:divBdr>
        <w:top w:val="none" w:sz="0" w:space="0" w:color="auto"/>
        <w:left w:val="none" w:sz="0" w:space="0" w:color="auto"/>
        <w:bottom w:val="none" w:sz="0" w:space="0" w:color="auto"/>
        <w:right w:val="none" w:sz="0" w:space="0" w:color="auto"/>
      </w:divBdr>
    </w:div>
    <w:div w:id="290746907">
      <w:bodyDiv w:val="1"/>
      <w:marLeft w:val="0"/>
      <w:marRight w:val="0"/>
      <w:marTop w:val="0"/>
      <w:marBottom w:val="0"/>
      <w:divBdr>
        <w:top w:val="none" w:sz="0" w:space="0" w:color="auto"/>
        <w:left w:val="none" w:sz="0" w:space="0" w:color="auto"/>
        <w:bottom w:val="none" w:sz="0" w:space="0" w:color="auto"/>
        <w:right w:val="none" w:sz="0" w:space="0" w:color="auto"/>
      </w:divBdr>
    </w:div>
    <w:div w:id="473915353">
      <w:bodyDiv w:val="1"/>
      <w:marLeft w:val="0"/>
      <w:marRight w:val="0"/>
      <w:marTop w:val="0"/>
      <w:marBottom w:val="0"/>
      <w:divBdr>
        <w:top w:val="none" w:sz="0" w:space="0" w:color="auto"/>
        <w:left w:val="none" w:sz="0" w:space="0" w:color="auto"/>
        <w:bottom w:val="none" w:sz="0" w:space="0" w:color="auto"/>
        <w:right w:val="none" w:sz="0" w:space="0" w:color="auto"/>
      </w:divBdr>
    </w:div>
    <w:div w:id="661617450">
      <w:bodyDiv w:val="1"/>
      <w:marLeft w:val="0"/>
      <w:marRight w:val="0"/>
      <w:marTop w:val="0"/>
      <w:marBottom w:val="0"/>
      <w:divBdr>
        <w:top w:val="none" w:sz="0" w:space="0" w:color="auto"/>
        <w:left w:val="none" w:sz="0" w:space="0" w:color="auto"/>
        <w:bottom w:val="none" w:sz="0" w:space="0" w:color="auto"/>
        <w:right w:val="none" w:sz="0" w:space="0" w:color="auto"/>
      </w:divBdr>
    </w:div>
    <w:div w:id="1157066344">
      <w:bodyDiv w:val="1"/>
      <w:marLeft w:val="0"/>
      <w:marRight w:val="0"/>
      <w:marTop w:val="0"/>
      <w:marBottom w:val="0"/>
      <w:divBdr>
        <w:top w:val="none" w:sz="0" w:space="0" w:color="auto"/>
        <w:left w:val="none" w:sz="0" w:space="0" w:color="auto"/>
        <w:bottom w:val="none" w:sz="0" w:space="0" w:color="auto"/>
        <w:right w:val="none" w:sz="0" w:space="0" w:color="auto"/>
      </w:divBdr>
    </w:div>
    <w:div w:id="1239288357">
      <w:bodyDiv w:val="1"/>
      <w:marLeft w:val="0"/>
      <w:marRight w:val="0"/>
      <w:marTop w:val="0"/>
      <w:marBottom w:val="0"/>
      <w:divBdr>
        <w:top w:val="none" w:sz="0" w:space="0" w:color="auto"/>
        <w:left w:val="none" w:sz="0" w:space="0" w:color="auto"/>
        <w:bottom w:val="none" w:sz="0" w:space="0" w:color="auto"/>
        <w:right w:val="none" w:sz="0" w:space="0" w:color="auto"/>
      </w:divBdr>
    </w:div>
    <w:div w:id="1460101732">
      <w:bodyDiv w:val="1"/>
      <w:marLeft w:val="0"/>
      <w:marRight w:val="0"/>
      <w:marTop w:val="0"/>
      <w:marBottom w:val="0"/>
      <w:divBdr>
        <w:top w:val="none" w:sz="0" w:space="0" w:color="auto"/>
        <w:left w:val="none" w:sz="0" w:space="0" w:color="auto"/>
        <w:bottom w:val="none" w:sz="0" w:space="0" w:color="auto"/>
        <w:right w:val="none" w:sz="0" w:space="0" w:color="auto"/>
      </w:divBdr>
    </w:div>
    <w:div w:id="1566985249">
      <w:bodyDiv w:val="1"/>
      <w:marLeft w:val="0"/>
      <w:marRight w:val="0"/>
      <w:marTop w:val="0"/>
      <w:marBottom w:val="0"/>
      <w:divBdr>
        <w:top w:val="none" w:sz="0" w:space="0" w:color="auto"/>
        <w:left w:val="none" w:sz="0" w:space="0" w:color="auto"/>
        <w:bottom w:val="none" w:sz="0" w:space="0" w:color="auto"/>
        <w:right w:val="none" w:sz="0" w:space="0" w:color="auto"/>
      </w:divBdr>
    </w:div>
    <w:div w:id="1603340603">
      <w:bodyDiv w:val="1"/>
      <w:marLeft w:val="0"/>
      <w:marRight w:val="0"/>
      <w:marTop w:val="0"/>
      <w:marBottom w:val="0"/>
      <w:divBdr>
        <w:top w:val="none" w:sz="0" w:space="0" w:color="auto"/>
        <w:left w:val="none" w:sz="0" w:space="0" w:color="auto"/>
        <w:bottom w:val="none" w:sz="0" w:space="0" w:color="auto"/>
        <w:right w:val="none" w:sz="0" w:space="0" w:color="auto"/>
      </w:divBdr>
    </w:div>
    <w:div w:id="161659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75878e-818c-451f-a18a-9ecb7c1364fc">
      <Terms xmlns="http://schemas.microsoft.com/office/infopath/2007/PartnerControls"/>
    </lcf76f155ced4ddcb4097134ff3c332f>
    <TaxCatchAll xmlns="8059d21e-3bad-45b1-9e6c-bcc77552c636" xsi:nil="true"/>
    <File_x0020_type0 xmlns="5a75878e-818c-451f-a18a-9ecb7c1364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9B95475E37974A91B40CC7A5EF6523" ma:contentTypeVersion="17" ma:contentTypeDescription="Create a new document." ma:contentTypeScope="" ma:versionID="3b011479f2fdf22a4f6b35423e8b4dcf">
  <xsd:schema xmlns:xsd="http://www.w3.org/2001/XMLSchema" xmlns:xs="http://www.w3.org/2001/XMLSchema" xmlns:p="http://schemas.microsoft.com/office/2006/metadata/properties" xmlns:ns2="5a75878e-818c-451f-a18a-9ecb7c1364fc" xmlns:ns3="8059d21e-3bad-45b1-9e6c-bcc77552c636" targetNamespace="http://schemas.microsoft.com/office/2006/metadata/properties" ma:root="true" ma:fieldsID="9471cc509cd4016dbb442861fea8cdeb" ns2:_="" ns3:_="">
    <xsd:import namespace="5a75878e-818c-451f-a18a-9ecb7c1364fc"/>
    <xsd:import namespace="8059d21e-3bad-45b1-9e6c-bcc77552c6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File_x0020_typ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5878e-818c-451f-a18a-9ecb7c1364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e1e89bd-74aa-4db7-8e82-b64f53ea7d1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File_x0020_type0" ma:index="24" nillable="true" ma:displayName="File type" ma:internalName="File_x0020_type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59d21e-3bad-45b1-9e6c-bcc77552c6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f244276-5f26-4b20-803f-e9394b496101}" ma:internalName="TaxCatchAll" ma:showField="CatchAllData" ma:web="8059d21e-3bad-45b1-9e6c-bcc77552c6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B5A93-1F6D-4A57-9856-DF7B9F35797F}">
  <ds:schemaRefs>
    <ds:schemaRef ds:uri="5a75878e-818c-451f-a18a-9ecb7c1364fc"/>
    <ds:schemaRef ds:uri="http://schemas.microsoft.com/office/2006/documentManagement/types"/>
    <ds:schemaRef ds:uri="http://schemas.microsoft.com/office/2006/metadata/properties"/>
    <ds:schemaRef ds:uri="http://purl.org/dc/dcmitype/"/>
    <ds:schemaRef ds:uri="8059d21e-3bad-45b1-9e6c-bcc77552c636"/>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9D330775-42C7-416E-9800-EE34C79DF99A}">
  <ds:schemaRefs>
    <ds:schemaRef ds:uri="http://schemas.microsoft.com/sharepoint/v3/contenttype/forms"/>
  </ds:schemaRefs>
</ds:datastoreItem>
</file>

<file path=customXml/itemProps3.xml><?xml version="1.0" encoding="utf-8"?>
<ds:datastoreItem xmlns:ds="http://schemas.openxmlformats.org/officeDocument/2006/customXml" ds:itemID="{B9A9D950-37A3-43B6-8316-2D8E26DDF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5878e-818c-451f-a18a-9ecb7c1364fc"/>
    <ds:schemaRef ds:uri="8059d21e-3bad-45b1-9e6c-bcc77552c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8D62A3-A8F3-46F7-876B-795A79E93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Baker</dc:creator>
  <cp:keywords/>
  <dc:description/>
  <cp:lastModifiedBy>Fluharty, Leslie A</cp:lastModifiedBy>
  <cp:revision>13</cp:revision>
  <dcterms:created xsi:type="dcterms:W3CDTF">2026-04-01T13:56:00Z</dcterms:created>
  <dcterms:modified xsi:type="dcterms:W3CDTF">2026-06-17T14:29:00Z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0x010100509B95475E37974A91B40CC7A5EF6523</vt:lpwstr>
  </property>
</Properties>
</file>