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E84C12" w14:textId="77777777" w:rsidR="00C44AA4" w:rsidRDefault="00C44AA4">
      <w:pPr>
        <w:pStyle w:val="Heading1"/>
      </w:pPr>
      <w:r>
        <w:t>Health-Related Committee Meeting Notes</w:t>
      </w:r>
    </w:p>
    <w:p w14:paraId="33708DF0" w14:textId="77777777" w:rsidR="00C44AA4" w:rsidRDefault="00C44AA4">
      <w:pPr>
        <w:rPr>
          <w:kern w:val="2"/>
          <w14:ligatures w14:val="standardContextual"/>
        </w:rPr>
      </w:pPr>
      <w:r>
        <w:rPr>
          <w:b/>
          <w:bCs/>
        </w:rPr>
        <w:t>Date:</w:t>
      </w:r>
      <w:r>
        <w:t xml:space="preserve"> June 30, 2025</w:t>
      </w:r>
    </w:p>
    <w:p w14:paraId="1E7E550E" w14:textId="77777777" w:rsidR="00C44AA4" w:rsidRDefault="00C44AA4">
      <w:pPr>
        <w:pStyle w:val="Heading2"/>
      </w:pPr>
      <w:r>
        <w:t>1. Legislative Update</w:t>
      </w:r>
    </w:p>
    <w:p w14:paraId="6955812F" w14:textId="77777777" w:rsidR="00C44AA4" w:rsidRDefault="00C44AA4">
      <w:pPr>
        <w:rPr>
          <w:kern w:val="2"/>
          <w14:ligatures w14:val="standardContextual"/>
        </w:rPr>
      </w:pPr>
      <w:r>
        <w:t>The committee discussed the Article III funding outlook, including significant one-time funding for general academic and health-related institutions. Health-related institutions saw an estimated $350 million gain and an approximate 10% increase.</w:t>
      </w:r>
    </w:p>
    <w:p w14:paraId="385E764A" w14:textId="77777777" w:rsidR="00C44AA4" w:rsidRDefault="00C44AA4">
      <w:pPr>
        <w:rPr>
          <w:kern w:val="2"/>
          <w14:ligatures w14:val="standardContextual"/>
        </w:rPr>
      </w:pPr>
      <w:r>
        <w:t>Mission-specific formula funding continues to be beneficial, particularly because the formula provides clear drivers for funding and has remained a focus area.</w:t>
      </w:r>
    </w:p>
    <w:p w14:paraId="573404EA" w14:textId="77777777" w:rsidR="00C44AA4" w:rsidRDefault="00C44AA4">
      <w:pPr>
        <w:rPr>
          <w:kern w:val="2"/>
          <w14:ligatures w14:val="standardContextual"/>
        </w:rPr>
      </w:pPr>
      <w:r>
        <w:t>A substantial portion of funding was directed toward non-formula and special items.</w:t>
      </w:r>
    </w:p>
    <w:p w14:paraId="7BB2A884" w14:textId="77777777" w:rsidR="00C44AA4" w:rsidRDefault="00C44AA4">
      <w:pPr>
        <w:rPr>
          <w:kern w:val="2"/>
          <w14:ligatures w14:val="standardContextual"/>
        </w:rPr>
      </w:pPr>
      <w:r>
        <w:t>Participants noted limited growth opportunities for established schools, particularly where enrollment growth is constrained.</w:t>
      </w:r>
    </w:p>
    <w:p w14:paraId="09BD19D3" w14:textId="77777777" w:rsidR="00C44AA4" w:rsidRDefault="00C44AA4">
      <w:pPr>
        <w:rPr>
          <w:kern w:val="2"/>
          <w14:ligatures w14:val="standardContextual"/>
        </w:rPr>
      </w:pPr>
      <w:r>
        <w:t>Enrollment declines in nursing and public health were identified as ongoing concerns.</w:t>
      </w:r>
    </w:p>
    <w:p w14:paraId="2990E919" w14:textId="77777777" w:rsidR="00C44AA4" w:rsidRDefault="00C44AA4">
      <w:pPr>
        <w:rPr>
          <w:kern w:val="2"/>
          <w14:ligatures w14:val="standardContextual"/>
        </w:rPr>
      </w:pPr>
      <w:r>
        <w:t>Institutional Operations funding was discussed, including the impact of lost dollars for certain institutions.</w:t>
      </w:r>
    </w:p>
    <w:p w14:paraId="464E9AE3" w14:textId="77777777" w:rsidR="00C44AA4" w:rsidRDefault="00C44AA4">
      <w:pPr>
        <w:rPr>
          <w:kern w:val="2"/>
          <w14:ligatures w14:val="standardContextual"/>
        </w:rPr>
      </w:pPr>
      <w:r>
        <w:t>The Formula Advisory Committee’s work was reviewed. Discussion focused on returning rates to 2000–2001 levels, considering inflation-adjusted rates, and evaluating whether recent approaches have been effective.</w:t>
      </w:r>
    </w:p>
    <w:p w14:paraId="1CBDA57D" w14:textId="77777777" w:rsidR="00C44AA4" w:rsidRDefault="00C44AA4">
      <w:pPr>
        <w:rPr>
          <w:kern w:val="2"/>
          <w14:ligatures w14:val="standardContextual"/>
        </w:rPr>
      </w:pPr>
      <w:r>
        <w:t xml:space="preserve">Mission-specific reporting requirements were discussed, including whether additional schedules are required with the Legislative Appropriations Request. Sources and </w:t>
      </w:r>
      <w:proofErr w:type="gramStart"/>
      <w:r>
        <w:t>uses data</w:t>
      </w:r>
      <w:proofErr w:type="gramEnd"/>
      <w:r>
        <w:t xml:space="preserve"> were noted as a key driver for research-specific reporting. The Legislative Budget Board may request additional clinical-side data.</w:t>
      </w:r>
    </w:p>
    <w:p w14:paraId="7E101AE9" w14:textId="77777777" w:rsidR="00C44AA4" w:rsidRDefault="00C44AA4">
      <w:pPr>
        <w:rPr>
          <w:kern w:val="2"/>
          <w14:ligatures w14:val="standardContextual"/>
        </w:rPr>
      </w:pPr>
      <w:r>
        <w:t>The committee reviewed Graduate Medical Education formula funding. The current $6,500 level does not fully cover faculty or resident costs. Coordinating Board programs may help offset resident costs, with funding generally awarded after the legislative session and distributed until available funds are exhausted. Funding may support two to three years, and programs such as anesthesiology, psychiatry, and family medicine have utilized these opportunities.</w:t>
      </w:r>
    </w:p>
    <w:p w14:paraId="410010E1" w14:textId="77777777" w:rsidR="00C44AA4" w:rsidRDefault="00C44AA4">
      <w:pPr>
        <w:pStyle w:val="Heading2"/>
      </w:pPr>
      <w:r>
        <w:t>2. FY 2026 Budget</w:t>
      </w:r>
    </w:p>
    <w:p w14:paraId="468DD82C" w14:textId="77777777" w:rsidR="00C44AA4" w:rsidRDefault="00C44AA4">
      <w:pPr>
        <w:rPr>
          <w:kern w:val="2"/>
          <w14:ligatures w14:val="standardContextual"/>
        </w:rPr>
      </w:pPr>
      <w:r>
        <w:t xml:space="preserve">The committee discussed approaches to </w:t>
      </w:r>
      <w:proofErr w:type="gramStart"/>
      <w:r>
        <w:t>budgeting</w:t>
      </w:r>
      <w:proofErr w:type="gramEnd"/>
      <w:r>
        <w:t xml:space="preserve"> indirect cost recovery given uncertainty around potential rate reductions. UTH budgeted at 30%, while participants considered the implications of rates as low as 15%.</w:t>
      </w:r>
    </w:p>
    <w:p w14:paraId="1839F5A9" w14:textId="77777777" w:rsidR="00C44AA4" w:rsidRDefault="00C44AA4">
      <w:pPr>
        <w:rPr>
          <w:kern w:val="2"/>
          <w14:ligatures w14:val="standardContextual"/>
        </w:rPr>
      </w:pPr>
      <w:r>
        <w:t>Institutions are conducting internal modeling to evaluate the potential impact of a 15% indirect cost recovery rate.</w:t>
      </w:r>
    </w:p>
    <w:p w14:paraId="39D70AE1" w14:textId="77777777" w:rsidR="00C44AA4" w:rsidRDefault="00C44AA4">
      <w:pPr>
        <w:rPr>
          <w:kern w:val="2"/>
          <w14:ligatures w14:val="standardContextual"/>
        </w:rPr>
      </w:pPr>
      <w:r>
        <w:lastRenderedPageBreak/>
        <w:t>Potential responses include reducing expenses, reassessing program commitments, and identifying programs that may no longer be supportable under reduced IDC assumptions.</w:t>
      </w:r>
    </w:p>
    <w:p w14:paraId="4E15907F" w14:textId="77777777" w:rsidR="00C44AA4" w:rsidRDefault="00C44AA4">
      <w:pPr>
        <w:rPr>
          <w:kern w:val="2"/>
          <w14:ligatures w14:val="standardContextual"/>
        </w:rPr>
      </w:pPr>
      <w:r>
        <w:t>UT Southwestern reduced direct activity assumptions by 5% but did not reduce IDC in the budget, preferring to avoid shifting resources to other fund sources before impacts could be tracked and implemented as needed.</w:t>
      </w:r>
    </w:p>
    <w:p w14:paraId="3464016E" w14:textId="77777777" w:rsidR="00C44AA4" w:rsidRDefault="00C44AA4">
      <w:pPr>
        <w:rPr>
          <w:kern w:val="2"/>
          <w14:ligatures w14:val="standardContextual"/>
        </w:rPr>
      </w:pPr>
      <w:r>
        <w:t>Awards are currently being received at a slower pace, creating additional uncertainty for budgeting assumptions.</w:t>
      </w:r>
    </w:p>
    <w:p w14:paraId="48EC26DD" w14:textId="77777777" w:rsidR="00C44AA4" w:rsidRDefault="00C44AA4">
      <w:pPr>
        <w:rPr>
          <w:kern w:val="2"/>
          <w14:ligatures w14:val="standardContextual"/>
        </w:rPr>
      </w:pPr>
      <w:r>
        <w:t>UT Rio Grande Valley maintained a lower research budget projection based on guidance from research leadership. A higher proportion of private grants may limit the federal impact. Their practice of distributing ICR in arrears provides additional buffer and lead time.</w:t>
      </w:r>
    </w:p>
    <w:p w14:paraId="15AE180D" w14:textId="77777777" w:rsidR="00C44AA4" w:rsidRDefault="00C44AA4">
      <w:pPr>
        <w:rPr>
          <w:kern w:val="2"/>
          <w14:ligatures w14:val="standardContextual"/>
        </w:rPr>
      </w:pPr>
      <w:r>
        <w:t>UT San Antonio provided guidance not to exceed a 30% IDC assumption. Some units budgeted lower, and the institution reduced approximately $20 million at the institutional level.</w:t>
      </w:r>
    </w:p>
    <w:p w14:paraId="793BCAE2" w14:textId="77777777" w:rsidR="00C44AA4" w:rsidRDefault="00C44AA4">
      <w:pPr>
        <w:rPr>
          <w:kern w:val="2"/>
          <w14:ligatures w14:val="standardContextual"/>
        </w:rPr>
      </w:pPr>
      <w:r>
        <w:t>Texas Tech budgeted IDC under normal assumptions while continuing to run alternative scenarios.</w:t>
      </w:r>
    </w:p>
    <w:p w14:paraId="4F6F9238" w14:textId="77777777" w:rsidR="00C44AA4" w:rsidRDefault="00C44AA4">
      <w:pPr>
        <w:rPr>
          <w:kern w:val="2"/>
          <w14:ligatures w14:val="standardContextual"/>
        </w:rPr>
      </w:pPr>
      <w:r>
        <w:t>Participants discussed the possibility that negotiated rates may change, with a likely range between 15% and 30%.</w:t>
      </w:r>
    </w:p>
    <w:p w14:paraId="4009F2AF" w14:textId="77777777" w:rsidR="00C44AA4" w:rsidRDefault="00C44AA4">
      <w:pPr>
        <w:pStyle w:val="Heading2"/>
      </w:pPr>
      <w:r>
        <w:t>3. ERP Implementation and Budgeting Software</w:t>
      </w:r>
    </w:p>
    <w:p w14:paraId="467B575D" w14:textId="77777777" w:rsidR="00C44AA4" w:rsidRDefault="00C44AA4">
      <w:pPr>
        <w:rPr>
          <w:kern w:val="2"/>
          <w14:ligatures w14:val="standardContextual"/>
        </w:rPr>
      </w:pPr>
      <w:r>
        <w:t>The committee discussed the need to move away from PeopleSoft for research and development functions and toward cloud-based solutions.</w:t>
      </w:r>
    </w:p>
    <w:p w14:paraId="66D53C85" w14:textId="77777777" w:rsidR="00C44AA4" w:rsidRDefault="00C44AA4">
      <w:pPr>
        <w:rPr>
          <w:kern w:val="2"/>
          <w14:ligatures w14:val="standardContextual"/>
        </w:rPr>
      </w:pPr>
      <w:r>
        <w:t xml:space="preserve">UT San Antonio is currently using Hyperion </w:t>
      </w:r>
      <w:proofErr w:type="gramStart"/>
      <w:r>
        <w:t>on-premises</w:t>
      </w:r>
      <w:proofErr w:type="gramEnd"/>
      <w:r>
        <w:t xml:space="preserve"> for planning and budgeting, with support expected to phase out. The institution uses PeopleSoft Financials and Oracle Cloud for HCM. OneStream was viewed as appealing due to its phased implementation approach and flexibility. Anaplan and Oracle Cloud EPM are also being considered, though the institution is pausing to reassess options.</w:t>
      </w:r>
    </w:p>
    <w:p w14:paraId="48471869" w14:textId="77777777" w:rsidR="00C44AA4" w:rsidRDefault="00C44AA4">
      <w:pPr>
        <w:rPr>
          <w:kern w:val="2"/>
          <w14:ligatures w14:val="standardContextual"/>
        </w:rPr>
      </w:pPr>
      <w:r>
        <w:t>Adaptive was discussed as a budgeting and reporting tool. Reported strengths include strong reporting functionality, Excel connectivity, fast report updates, and the ability for users to modify standard reports and save customized versions. A PeopleSoft interface is being developed. Participants noted challenges with placeholder positions and indicated that Workday Planning may offer a smoother connection. OneStream was not selected for budget and planning due to cost considerations.</w:t>
      </w:r>
    </w:p>
    <w:p w14:paraId="72ABF79E" w14:textId="77777777" w:rsidR="00C44AA4" w:rsidRDefault="00C44AA4">
      <w:pPr>
        <w:rPr>
          <w:kern w:val="2"/>
          <w14:ligatures w14:val="standardContextual"/>
        </w:rPr>
      </w:pPr>
      <w:r>
        <w:t>UT Austin is evaluating ERP options for finance while using Workday for HCM. Concerns remain regarding finance functionality, particularly for grants, although participants noted that improvements have been made. Finance currently remains on a legacy mainframe system.</w:t>
      </w:r>
    </w:p>
    <w:p w14:paraId="39E9C5C6" w14:textId="77777777" w:rsidR="00C44AA4" w:rsidRDefault="00C44AA4">
      <w:pPr>
        <w:pStyle w:val="Heading2"/>
      </w:pPr>
      <w:r>
        <w:t>4. TIPPS Update</w:t>
      </w:r>
    </w:p>
    <w:p w14:paraId="022B7BF7" w14:textId="77777777" w:rsidR="00C44AA4" w:rsidRDefault="00C44AA4">
      <w:pPr>
        <w:rPr>
          <w:kern w:val="2"/>
          <w14:ligatures w14:val="standardContextual"/>
        </w:rPr>
      </w:pPr>
      <w:r>
        <w:t>TIPPS is now claim-based. Some providers were dropped in TMHP, resulting in claim denials. Institutions are now working to resubmit affected claims.</w:t>
      </w:r>
    </w:p>
    <w:p w14:paraId="6C2A8E7C" w14:textId="77777777" w:rsidR="00C44AA4" w:rsidRDefault="00C44AA4">
      <w:pPr>
        <w:rPr>
          <w:kern w:val="2"/>
          <w14:ligatures w14:val="standardContextual"/>
        </w:rPr>
      </w:pPr>
      <w:r>
        <w:lastRenderedPageBreak/>
        <w:t>Funding receipts have been lower than anticipated. Institutions are budgeting more conservatively due to the possibility that some amounts may need to be repaid after reconciliation.</w:t>
      </w:r>
    </w:p>
    <w:p w14:paraId="54707028" w14:textId="77777777" w:rsidR="00C44AA4" w:rsidRDefault="00C44AA4">
      <w:pPr>
        <w:rPr>
          <w:kern w:val="2"/>
          <w14:ligatures w14:val="standardContextual"/>
        </w:rPr>
      </w:pPr>
      <w:r>
        <w:t>The reduced and uncertain funding is creating challenges for departments that rely on TIPPS revenue.</w:t>
      </w:r>
    </w:p>
    <w:p w14:paraId="6C4CBC15" w14:textId="77777777" w:rsidR="00C44AA4" w:rsidRDefault="00C44AA4">
      <w:pPr>
        <w:rPr>
          <w:kern w:val="2"/>
          <w14:ligatures w14:val="standardContextual"/>
        </w:rPr>
      </w:pPr>
      <w:r>
        <w:t>The committee discussed whether TIPPS may return to lump-sum payments next year or remain claim-based.</w:t>
      </w:r>
    </w:p>
    <w:p w14:paraId="667440E5" w14:textId="77777777" w:rsidR="00C44AA4" w:rsidRDefault="00C44AA4">
      <w:pPr>
        <w:rPr>
          <w:kern w:val="2"/>
          <w14:ligatures w14:val="standardContextual"/>
        </w:rPr>
      </w:pPr>
      <w:r>
        <w:t>Texas A&amp;M Health Science Center reported challenges with TIPPS participation. As more providers are added to the system, distributions may be diluted. Claim denials and the relationship between intergovernmental transfers and receipts raise questions about the value of continued participation.</w:t>
      </w:r>
    </w:p>
    <w:p w14:paraId="23D05288" w14:textId="77777777" w:rsidR="00C44AA4" w:rsidRDefault="00C44AA4">
      <w:pPr>
        <w:pStyle w:val="Heading2"/>
      </w:pPr>
      <w:r>
        <w:t>5. Future Agenda Topics and Scheduling</w:t>
      </w:r>
    </w:p>
    <w:p w14:paraId="0878B25D" w14:textId="77777777" w:rsidR="00C44AA4" w:rsidRDefault="00C44AA4">
      <w:pPr>
        <w:rPr>
          <w:kern w:val="2"/>
          <w14:ligatures w14:val="standardContextual"/>
        </w:rPr>
      </w:pPr>
      <w:r>
        <w:t>The committee discussed inviting an external presenter to provide a presentation tailored to health-related institutions.</w:t>
      </w:r>
    </w:p>
    <w:p w14:paraId="16688955" w14:textId="77777777" w:rsidR="00C44AA4" w:rsidRDefault="00C44AA4">
      <w:pPr>
        <w:rPr>
          <w:kern w:val="2"/>
          <w14:ligatures w14:val="standardContextual"/>
        </w:rPr>
      </w:pPr>
      <w:r>
        <w:t>Epic was identified as a potential future agenda topic.</w:t>
      </w:r>
    </w:p>
    <w:p w14:paraId="32F33183" w14:textId="77777777" w:rsidR="00C44AA4" w:rsidRDefault="00C44AA4">
      <w:pPr>
        <w:rPr>
          <w:kern w:val="2"/>
          <w14:ligatures w14:val="standardContextual"/>
        </w:rPr>
      </w:pPr>
      <w:r>
        <w:t xml:space="preserve">The committee discussed meeting timing. </w:t>
      </w:r>
      <w:proofErr w:type="gramStart"/>
      <w:r>
        <w:t>Meetings have typically occurred</w:t>
      </w:r>
      <w:proofErr w:type="gramEnd"/>
      <w:r>
        <w:t xml:space="preserve"> on Sundays at 4:00 p.m., but the group moved to Mondays at 4:00 p.m. due to conflicts. Either day may present scheduling challenges. A survey may be distributed to determine member preference, potentially through TACUBO.</w:t>
      </w:r>
    </w:p>
    <w:sectPr w:rsidR="00C44A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913DF"/>
    <w:multiLevelType w:val="hybridMultilevel"/>
    <w:tmpl w:val="F6A49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77141F"/>
    <w:multiLevelType w:val="hybridMultilevel"/>
    <w:tmpl w:val="4A02B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909378">
    <w:abstractNumId w:val="0"/>
  </w:num>
  <w:num w:numId="2" w16cid:durableId="523985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3D"/>
    <w:rsid w:val="000A243D"/>
    <w:rsid w:val="000F5B98"/>
    <w:rsid w:val="0011068B"/>
    <w:rsid w:val="0016709A"/>
    <w:rsid w:val="001869A8"/>
    <w:rsid w:val="00685794"/>
    <w:rsid w:val="00713E75"/>
    <w:rsid w:val="00750C96"/>
    <w:rsid w:val="00AD628B"/>
    <w:rsid w:val="00C44AA4"/>
    <w:rsid w:val="00DC2E09"/>
    <w:rsid w:val="00EC2BC2"/>
    <w:rsid w:val="00F96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5D49CE"/>
  <w15:chartTrackingRefBased/>
  <w15:docId w15:val="{6128A595-BAB1-444D-ACAE-22EBA7F29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44AA4"/>
    <w:pPr>
      <w:spacing w:before="100" w:beforeAutospacing="1" w:after="100" w:afterAutospacing="1" w:line="240" w:lineRule="auto"/>
      <w:outlineLvl w:val="0"/>
    </w:pPr>
    <w:rPr>
      <w:b/>
      <w:bCs/>
      <w:kern w:val="36"/>
      <w:sz w:val="48"/>
      <w:szCs w:val="48"/>
      <w14:ligatures w14:val="standardContextual"/>
    </w:rPr>
  </w:style>
  <w:style w:type="paragraph" w:styleId="Heading2">
    <w:name w:val="heading 2"/>
    <w:basedOn w:val="Normal"/>
    <w:link w:val="Heading2Char"/>
    <w:uiPriority w:val="9"/>
    <w:qFormat/>
    <w:rsid w:val="00C44AA4"/>
    <w:pPr>
      <w:spacing w:before="100" w:beforeAutospacing="1" w:after="100" w:afterAutospacing="1" w:line="240" w:lineRule="auto"/>
      <w:outlineLvl w:val="1"/>
    </w:pPr>
    <w:rPr>
      <w:b/>
      <w:bCs/>
      <w:kern w:val="2"/>
      <w:sz w:val="36"/>
      <w:szCs w:val="36"/>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243D"/>
    <w:pPr>
      <w:ind w:left="720"/>
      <w:contextualSpacing/>
    </w:pPr>
  </w:style>
  <w:style w:type="character" w:customStyle="1" w:styleId="Heading1Char">
    <w:name w:val="Heading 1 Char"/>
    <w:basedOn w:val="DefaultParagraphFont"/>
    <w:link w:val="Heading1"/>
    <w:uiPriority w:val="9"/>
    <w:rsid w:val="00C44AA4"/>
    <w:rPr>
      <w:b/>
      <w:bCs/>
      <w:kern w:val="36"/>
      <w:sz w:val="48"/>
      <w:szCs w:val="48"/>
      <w14:ligatures w14:val="standardContextual"/>
    </w:rPr>
  </w:style>
  <w:style w:type="character" w:customStyle="1" w:styleId="Heading2Char">
    <w:name w:val="Heading 2 Char"/>
    <w:basedOn w:val="DefaultParagraphFont"/>
    <w:link w:val="Heading2"/>
    <w:uiPriority w:val="9"/>
    <w:rsid w:val="00C44AA4"/>
    <w:rPr>
      <w:b/>
      <w:bCs/>
      <w:kern w:val="2"/>
      <w:sz w:val="36"/>
      <w:szCs w:val="3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1020</Words>
  <Characters>5042</Characters>
  <Application>Microsoft Office Word</Application>
  <DocSecurity>0</DocSecurity>
  <Lines>107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Christina D</dc:creator>
  <cp:keywords/>
  <dc:description/>
  <cp:lastModifiedBy>Graham, Christina D</cp:lastModifiedBy>
  <cp:revision>2</cp:revision>
  <dcterms:created xsi:type="dcterms:W3CDTF">2026-06-25T16:12:00Z</dcterms:created>
  <dcterms:modified xsi:type="dcterms:W3CDTF">2026-06-25T16:12:00Z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42fb5e9d-9664-455f-a7da-5d66d221a8d3</vt:lpwstr>
  </property>
</Properties>
</file>