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76BDB" w14:textId="77777777" w:rsidR="00372F7F" w:rsidRDefault="00372F7F">
      <w:pPr>
        <w:pStyle w:val="Heading1"/>
      </w:pPr>
      <w:r>
        <w:t>Health-Related Institutions Committee Meeting Summary</w:t>
      </w:r>
    </w:p>
    <w:p w14:paraId="11F96C62" w14:textId="77777777" w:rsidR="00372F7F" w:rsidRDefault="00372F7F">
      <w:r>
        <w:rPr>
          <w:b/>
          <w:bCs/>
        </w:rPr>
        <w:t>Meeting Date:</w:t>
      </w:r>
      <w:r>
        <w:t xml:space="preserve"> June 23, 2026</w:t>
      </w:r>
    </w:p>
    <w:p w14:paraId="08FE5565" w14:textId="77777777" w:rsidR="00372F7F" w:rsidRDefault="00372F7F">
      <w:pPr>
        <w:pStyle w:val="Heading2"/>
      </w:pPr>
      <w:r>
        <w:t>Formula Funding Updates</w:t>
      </w:r>
    </w:p>
    <w:p w14:paraId="640E5634" w14:textId="77777777" w:rsidR="00372F7F" w:rsidRDefault="00372F7F">
      <w:r>
        <w:t>The committee reviewed formula funding recommendations that began in August 2025. Rates have stabilized over the past several years, and current recommendations support funding enrollment growth along with an inflationary adjustment. Formula weights have increased, and new programs or schools have been added for consideration.</w:t>
      </w:r>
    </w:p>
    <w:p w14:paraId="548060CF" w14:textId="77777777" w:rsidR="00372F7F" w:rsidRDefault="00372F7F">
      <w:r>
        <w:t>Kristin Nace, Chair of the Formula Advisory Committee, is leading a review of formula weights to determine whether they remain appropriate. The review includes consideration of new or revised weights for graduate allied health, graduate nursing, and graduate behavioral health programs.</w:t>
      </w:r>
    </w:p>
    <w:p w14:paraId="16BAD7F6" w14:textId="77777777" w:rsidR="00372F7F" w:rsidRDefault="00372F7F">
      <w:r>
        <w:t xml:space="preserve">New topics included graduate medical education rates for outpatient settings, including a proposed 20% request. The committee also discussed the University of Houston’s optometry school and noted that any related supplement may be more appropriately addressed through the General Academic Institutions process rather than the </w:t>
      </w:r>
      <w:proofErr w:type="gramStart"/>
      <w:r>
        <w:t>Health</w:t>
      </w:r>
      <w:proofErr w:type="gramEnd"/>
      <w:r>
        <w:t>-Related Institutions formula.</w:t>
      </w:r>
    </w:p>
    <w:p w14:paraId="44D5F642" w14:textId="77777777" w:rsidR="00372F7F" w:rsidRDefault="00372F7F">
      <w:r>
        <w:t xml:space="preserve">The Texas Higher Education Coordinating Board adopted the recommendations, and the report was delivered to the Legislative Budget Board. The Coordinating Board has posted the report </w:t>
      </w:r>
      <w:proofErr w:type="gramStart"/>
      <w:r>
        <w:t>online,</w:t>
      </w:r>
      <w:proofErr w:type="gramEnd"/>
      <w:r>
        <w:t xml:space="preserve"> with the </w:t>
      </w:r>
      <w:proofErr w:type="gramStart"/>
      <w:r>
        <w:t>Health</w:t>
      </w:r>
      <w:proofErr w:type="gramEnd"/>
      <w:r>
        <w:t>-Related Institutions Committee report beginning on page 11.</w:t>
      </w:r>
    </w:p>
    <w:p w14:paraId="3C3A3D5D" w14:textId="77777777" w:rsidR="00372F7F" w:rsidRDefault="00372F7F">
      <w:pPr>
        <w:pStyle w:val="Heading2"/>
      </w:pPr>
      <w:r>
        <w:t>Inflationary Adjustment and Legislative Budget Board Review</w:t>
      </w:r>
    </w:p>
    <w:p w14:paraId="338848FC" w14:textId="77777777" w:rsidR="00372F7F" w:rsidRDefault="00372F7F">
      <w:r>
        <w:t>Charlie Smith, along with a new Legislative Budget Board analyst, discussed the importance of an inflationary adjustment, particularly for mature institutions that may not benefit significantly from enrollment growth. Inflation has averaged approximately 2.73% per year since 2019, with projections reviewed through 2028.</w:t>
      </w:r>
    </w:p>
    <w:p w14:paraId="4F4C479A" w14:textId="77777777" w:rsidR="00372F7F" w:rsidRDefault="00372F7F">
      <w:r>
        <w:t xml:space="preserve">Rather than requesting the full inflationary increase at once, the committee discussed a phased approach. The initial request would represent approximately one-third of the total need, with the remaining amounts requested over the next two </w:t>
      </w:r>
      <w:proofErr w:type="gramStart"/>
      <w:r>
        <w:t>biennia</w:t>
      </w:r>
      <w:proofErr w:type="gramEnd"/>
      <w:r>
        <w:t>. This approach would result in an estimated 8% increase for each formula.</w:t>
      </w:r>
    </w:p>
    <w:p w14:paraId="4CF5D698" w14:textId="77777777" w:rsidR="00372F7F" w:rsidRDefault="00372F7F">
      <w:r>
        <w:t xml:space="preserve">The Legislative Budget Board will use the committee’s recommendations and projected numbers to run the formulas. The total request is approximately $507 million, including </w:t>
      </w:r>
      <w:r>
        <w:lastRenderedPageBreak/>
        <w:t>about $450 million in base rate increases across all formulas and approximately $54 million for graduate-level adjustments.</w:t>
      </w:r>
    </w:p>
    <w:p w14:paraId="6DDEEA33" w14:textId="77777777" w:rsidR="00372F7F" w:rsidRDefault="00372F7F">
      <w:pPr>
        <w:pStyle w:val="Heading2"/>
      </w:pPr>
      <w:r>
        <w:t>Legislative Appropriations Request Guidance</w:t>
      </w:r>
    </w:p>
    <w:p w14:paraId="1C82C91B" w14:textId="77777777" w:rsidR="00372F7F" w:rsidRDefault="00372F7F">
      <w:r>
        <w:t>The committee discussed the Legislative Appropriations Request process, including a potential 3% reduction schedule for non-formula items. Formal instructions had not yet been received, but guidance was expected soon.</w:t>
      </w:r>
    </w:p>
    <w:p w14:paraId="579B6160" w14:textId="77777777" w:rsidR="00372F7F" w:rsidRDefault="00372F7F">
      <w:r>
        <w:t>Members noted that moving more non-formula funding into formulas may provide greater protection. UTHealth typically applies reductions across the board, while UT San Antonio Health has generally used a similar approach but previously applied a strategic reduction by eliminating one specific item in 2020.</w:t>
      </w:r>
    </w:p>
    <w:p w14:paraId="3F6596BB" w14:textId="77777777" w:rsidR="00372F7F" w:rsidRDefault="00372F7F">
      <w:pPr>
        <w:pStyle w:val="Heading2"/>
      </w:pPr>
      <w:r>
        <w:t>Texas Incentives for Physicians and Professional Services Program</w:t>
      </w:r>
    </w:p>
    <w:p w14:paraId="160FE4EA" w14:textId="77777777" w:rsidR="00372F7F" w:rsidRDefault="00372F7F">
      <w:r>
        <w:t>The committee discussed ongoing timing and collection issues related to the Texas Incentives for Physicians and Professional Services program. Funds are expected in September, and UTHealth is handling the program on a cash basis rather than accruing revenue.</w:t>
      </w:r>
    </w:p>
    <w:p w14:paraId="6730BB71" w14:textId="77777777" w:rsidR="00372F7F" w:rsidRDefault="00372F7F">
      <w:r>
        <w:t xml:space="preserve">Several challenges were noted, including Medicaid managed care organization claim denials, delays in associated payments, and provider enrollment issues through TMHP. Participants noted that many </w:t>
      </w:r>
      <w:proofErr w:type="gramStart"/>
      <w:r>
        <w:t>faculty</w:t>
      </w:r>
      <w:proofErr w:type="gramEnd"/>
      <w:r>
        <w:t xml:space="preserve"> have required re-enrollment within the past year, contributing to delays in fiscal year 2026 funds. There are also outstanding concerns related to underfunding for fiscal years 2024 and 2025.</w:t>
      </w:r>
    </w:p>
    <w:p w14:paraId="5DCBB1B3" w14:textId="77777777" w:rsidR="00372F7F" w:rsidRDefault="00372F7F">
      <w:r>
        <w:t>Institutions are continuing to evaluate participation in the program due to delayed revenue recognition, required intergovernmental transfers, and the timing of reconciliations. The group discussed meeting with the Health and Human Services Commission to address managed care organization payment delays and explore ways to prevent funds from being withheld.</w:t>
      </w:r>
    </w:p>
    <w:p w14:paraId="36866FFB" w14:textId="77777777" w:rsidR="00372F7F" w:rsidRDefault="00372F7F">
      <w:r>
        <w:t>The committee also discussed the effect of the 35% quality measure component and a first-in, first-out payment approach, which may prevent institutions from recognizing revenue within the current fiscal year. A proposed approach would shift 35% of the intergovernmental transfer to component 2 to better align with lump-sum payments and support more timely revenue recognition.</w:t>
      </w:r>
    </w:p>
    <w:p w14:paraId="3039F1B6" w14:textId="77777777" w:rsidR="00372F7F" w:rsidRDefault="00372F7F">
      <w:pPr>
        <w:pStyle w:val="Heading2"/>
      </w:pPr>
      <w:r>
        <w:t>Intergovernmental Transfer and Reconciliation Issues</w:t>
      </w:r>
    </w:p>
    <w:p w14:paraId="263062CB" w14:textId="77777777" w:rsidR="00372F7F" w:rsidRDefault="00372F7F">
      <w:r>
        <w:t xml:space="preserve">Participants discussed reconciliation challenges, including issues involving UTRGV and the intergovernmental transfer portion of the program. Questions were raised about </w:t>
      </w:r>
      <w:r>
        <w:lastRenderedPageBreak/>
        <w:t>arrangements with other agencies, whether private physician groups are benefiting from institutional participation, and whether there may be opportunities to pursue relief or a carve-out through the Health and Human Services Commission.</w:t>
      </w:r>
    </w:p>
    <w:p w14:paraId="355509B6" w14:textId="77777777" w:rsidR="00372F7F" w:rsidRDefault="00372F7F">
      <w:r>
        <w:t xml:space="preserve">The committee noted concerns regarding advance intergovernmental transfer payments, lost interest, claim denials, delayed reconciliations, and limited benefits from program participation. Members also discussed that </w:t>
      </w:r>
      <w:proofErr w:type="gramStart"/>
      <w:r>
        <w:t>reconciled</w:t>
      </w:r>
      <w:proofErr w:type="gramEnd"/>
      <w:r>
        <w:t xml:space="preserve"> or </w:t>
      </w:r>
      <w:proofErr w:type="gramStart"/>
      <w:r>
        <w:t>refunded</w:t>
      </w:r>
      <w:proofErr w:type="gramEnd"/>
      <w:r>
        <w:t xml:space="preserve"> intergovernmental transfer amounts may not be returned in a timely manner.</w:t>
      </w:r>
    </w:p>
    <w:p w14:paraId="2C6965FC" w14:textId="77777777" w:rsidR="00372F7F" w:rsidRDefault="00372F7F">
      <w:pPr>
        <w:pStyle w:val="Heading2"/>
      </w:pPr>
      <w:r>
        <w:t>Harris County Hospital District Contract Considerations</w:t>
      </w:r>
    </w:p>
    <w:p w14:paraId="2ADE8002" w14:textId="77777777" w:rsidR="00372F7F" w:rsidRDefault="00372F7F">
      <w:r>
        <w:t>The committee discussed the Harris County Hospital District contract and whether professional fees collected through Medicaid-related programs should reduce contract payments. Participants noted that if an institution contributes the intergovernmental transfer, it should receive the associated Texas Incentives for Physicians and Professional Services funds.</w:t>
      </w:r>
    </w:p>
    <w:p w14:paraId="0AA12ED9" w14:textId="77777777" w:rsidR="00B57B5E" w:rsidRDefault="00B57B5E" w:rsidP="00B57B5E">
      <w:pPr>
        <w:pStyle w:val="Heading2"/>
      </w:pPr>
      <w:r>
        <w:t>GASB 103 Discussion</w:t>
      </w:r>
    </w:p>
    <w:p w14:paraId="648EE0AB" w14:textId="77777777" w:rsidR="00B57B5E" w:rsidRDefault="00B57B5E" w:rsidP="00B57B5E">
      <w:r>
        <w:t>The committee reviewed potential GASB 103 reporting implications for the Texas Incentives for Physicians and Professional Services program. Specifically, there was discussion about whether related revenue should move from other operating revenue to subsidy. Several responses indicated that such a change may not be appropriate, and updated guidance is expected to clarify that the revenue should remain in its current reporting category.</w:t>
      </w:r>
    </w:p>
    <w:sectPr w:rsidR="00B57B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431068"/>
    <w:multiLevelType w:val="multilevel"/>
    <w:tmpl w:val="3224F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DAD3104"/>
    <w:multiLevelType w:val="hybridMultilevel"/>
    <w:tmpl w:val="67D85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6945268">
    <w:abstractNumId w:val="1"/>
  </w:num>
  <w:num w:numId="2" w16cid:durableId="705836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558"/>
    <w:rsid w:val="001F32B6"/>
    <w:rsid w:val="00372F7F"/>
    <w:rsid w:val="004916C0"/>
    <w:rsid w:val="005E039C"/>
    <w:rsid w:val="005F41B5"/>
    <w:rsid w:val="00626A15"/>
    <w:rsid w:val="006D081A"/>
    <w:rsid w:val="00720B8F"/>
    <w:rsid w:val="007A70B5"/>
    <w:rsid w:val="007E6183"/>
    <w:rsid w:val="0086589D"/>
    <w:rsid w:val="00885C55"/>
    <w:rsid w:val="008F2D9C"/>
    <w:rsid w:val="00972E45"/>
    <w:rsid w:val="00A53392"/>
    <w:rsid w:val="00A71903"/>
    <w:rsid w:val="00B57B5E"/>
    <w:rsid w:val="00BE0835"/>
    <w:rsid w:val="00C90445"/>
    <w:rsid w:val="00CC4BB7"/>
    <w:rsid w:val="00DC2E09"/>
    <w:rsid w:val="00E14558"/>
    <w:rsid w:val="00EC2B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5D9E7"/>
  <w15:chartTrackingRefBased/>
  <w15:docId w15:val="{95B6AAC1-EDE9-44E4-ACAF-AEDF5C234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45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145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45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45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45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45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45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45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45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45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45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45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45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45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45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45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45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4558"/>
    <w:rPr>
      <w:rFonts w:eastAsiaTheme="majorEastAsia" w:cstheme="majorBidi"/>
      <w:color w:val="272727" w:themeColor="text1" w:themeTint="D8"/>
    </w:rPr>
  </w:style>
  <w:style w:type="paragraph" w:styleId="Title">
    <w:name w:val="Title"/>
    <w:basedOn w:val="Normal"/>
    <w:next w:val="Normal"/>
    <w:link w:val="TitleChar"/>
    <w:uiPriority w:val="10"/>
    <w:qFormat/>
    <w:rsid w:val="00E145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45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45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45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4558"/>
    <w:pPr>
      <w:spacing w:before="160"/>
      <w:jc w:val="center"/>
    </w:pPr>
    <w:rPr>
      <w:i/>
      <w:iCs/>
      <w:color w:val="404040" w:themeColor="text1" w:themeTint="BF"/>
    </w:rPr>
  </w:style>
  <w:style w:type="character" w:customStyle="1" w:styleId="QuoteChar">
    <w:name w:val="Quote Char"/>
    <w:basedOn w:val="DefaultParagraphFont"/>
    <w:link w:val="Quote"/>
    <w:uiPriority w:val="29"/>
    <w:rsid w:val="00E14558"/>
    <w:rPr>
      <w:i/>
      <w:iCs/>
      <w:color w:val="404040" w:themeColor="text1" w:themeTint="BF"/>
    </w:rPr>
  </w:style>
  <w:style w:type="paragraph" w:styleId="ListParagraph">
    <w:name w:val="List Paragraph"/>
    <w:basedOn w:val="Normal"/>
    <w:uiPriority w:val="34"/>
    <w:qFormat/>
    <w:rsid w:val="00E14558"/>
    <w:pPr>
      <w:ind w:left="720"/>
      <w:contextualSpacing/>
    </w:pPr>
  </w:style>
  <w:style w:type="character" w:styleId="IntenseEmphasis">
    <w:name w:val="Intense Emphasis"/>
    <w:basedOn w:val="DefaultParagraphFont"/>
    <w:uiPriority w:val="21"/>
    <w:qFormat/>
    <w:rsid w:val="00E14558"/>
    <w:rPr>
      <w:i/>
      <w:iCs/>
      <w:color w:val="0F4761" w:themeColor="accent1" w:themeShade="BF"/>
    </w:rPr>
  </w:style>
  <w:style w:type="paragraph" w:styleId="IntenseQuote">
    <w:name w:val="Intense Quote"/>
    <w:basedOn w:val="Normal"/>
    <w:next w:val="Normal"/>
    <w:link w:val="IntenseQuoteChar"/>
    <w:uiPriority w:val="30"/>
    <w:qFormat/>
    <w:rsid w:val="00E145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4558"/>
    <w:rPr>
      <w:i/>
      <w:iCs/>
      <w:color w:val="0F4761" w:themeColor="accent1" w:themeShade="BF"/>
    </w:rPr>
  </w:style>
  <w:style w:type="character" w:styleId="IntenseReference">
    <w:name w:val="Intense Reference"/>
    <w:basedOn w:val="DefaultParagraphFont"/>
    <w:uiPriority w:val="32"/>
    <w:qFormat/>
    <w:rsid w:val="00E1455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899</Words>
  <Characters>5127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UTHealth</Company>
  <LinksUpToDate>false</LinksUpToDate>
  <CharactersWithSpaces>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Christina D</dc:creator>
  <cp:keywords/>
  <dc:description/>
  <cp:lastModifiedBy>Barnett, Scott</cp:lastModifiedBy>
  <cp:revision>2</cp:revision>
  <dcterms:created xsi:type="dcterms:W3CDTF">2026-07-02T18:04:00Z</dcterms:created>
  <dcterms:modified xsi:type="dcterms:W3CDTF">2026-07-02T18:04:00Z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e1f422d5-c523-4b39-a3e5-d972a9105248</vt:lpwstr>
  </property>
</Properties>
</file>